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CE30A6" w14:textId="77777777" w:rsidR="00082C5C" w:rsidRPr="005D66DD" w:rsidRDefault="005D66DD" w:rsidP="00C35B32">
      <w:pPr>
        <w:pStyle w:val="NoSpacing"/>
        <w:spacing w:line="276" w:lineRule="auto"/>
        <w:jc w:val="both"/>
        <w:rPr>
          <w:rFonts w:ascii="Calibri Light" w:hAnsi="Calibri Light"/>
          <w:b/>
          <w:sz w:val="40"/>
        </w:rPr>
      </w:pPr>
      <w:bookmarkStart w:id="0" w:name="_Toc367953306"/>
      <w:bookmarkStart w:id="1" w:name="_GoBack"/>
      <w:bookmarkEnd w:id="1"/>
      <w:r>
        <w:rPr>
          <w:rFonts w:ascii="Calibri Light" w:hAnsi="Calibri Light"/>
          <w:b/>
          <w:sz w:val="40"/>
        </w:rPr>
        <w:t>Skilled Capital</w:t>
      </w:r>
      <w:r w:rsidR="0057679E" w:rsidRPr="005D66DD">
        <w:rPr>
          <w:rFonts w:ascii="Calibri Light" w:hAnsi="Calibri Light"/>
          <w:b/>
          <w:sz w:val="40"/>
        </w:rPr>
        <w:t xml:space="preserve"> </w:t>
      </w:r>
      <w:r w:rsidR="00CC1107" w:rsidRPr="005D66DD">
        <w:rPr>
          <w:rFonts w:ascii="Calibri Light" w:hAnsi="Calibri Light"/>
          <w:b/>
          <w:sz w:val="40"/>
        </w:rPr>
        <w:t>Work Experience</w:t>
      </w:r>
      <w:r w:rsidR="004B2B5D" w:rsidRPr="005D66DD">
        <w:rPr>
          <w:rFonts w:ascii="Calibri Light" w:hAnsi="Calibri Light"/>
          <w:b/>
          <w:sz w:val="40"/>
        </w:rPr>
        <w:t xml:space="preserve"> Placement</w:t>
      </w:r>
      <w:bookmarkEnd w:id="0"/>
      <w:r>
        <w:rPr>
          <w:rFonts w:ascii="Calibri Light" w:hAnsi="Calibri Light"/>
          <w:b/>
          <w:sz w:val="40"/>
        </w:rPr>
        <w:t xml:space="preserve"> </w:t>
      </w:r>
      <w:r w:rsidR="00A72804" w:rsidRPr="005D66DD">
        <w:rPr>
          <w:rFonts w:ascii="Calibri Light" w:hAnsi="Calibri Light"/>
          <w:b/>
          <w:sz w:val="40"/>
        </w:rPr>
        <w:t>Guidelines</w:t>
      </w:r>
    </w:p>
    <w:p w14:paraId="632D32D5" w14:textId="77777777" w:rsidR="00C35B32" w:rsidRPr="00866637" w:rsidRDefault="00C35B32" w:rsidP="00C35B32">
      <w:pPr>
        <w:pStyle w:val="NoSpacing"/>
        <w:spacing w:line="276" w:lineRule="auto"/>
        <w:jc w:val="both"/>
        <w:rPr>
          <w:rFonts w:ascii="Calibri Light" w:hAnsi="Calibri Light"/>
          <w:color w:val="595959"/>
          <w:sz w:val="2"/>
        </w:rPr>
      </w:pPr>
    </w:p>
    <w:p w14:paraId="5804101C" w14:textId="77777777" w:rsidR="00866637" w:rsidRPr="00866637" w:rsidRDefault="00866637" w:rsidP="00866637">
      <w:r w:rsidRPr="00866637">
        <w:t xml:space="preserve">A work experience placement (WEP) will provide </w:t>
      </w:r>
      <w:r w:rsidR="00535D26">
        <w:t>students</w:t>
      </w:r>
      <w:r w:rsidR="00535D26" w:rsidRPr="00866637">
        <w:t xml:space="preserve"> </w:t>
      </w:r>
      <w:r w:rsidR="0031553C">
        <w:t xml:space="preserve">with </w:t>
      </w:r>
      <w:r w:rsidRPr="00866637">
        <w:t xml:space="preserve">time at a workplace to learn about an occupation or industry.  It is an opportunity to apply the skills gained through </w:t>
      </w:r>
      <w:r w:rsidR="005D66DD">
        <w:t xml:space="preserve">the </w:t>
      </w:r>
      <w:r w:rsidR="004E14B7">
        <w:t>Skilled Capital</w:t>
      </w:r>
      <w:r w:rsidRPr="00866637">
        <w:t xml:space="preserve"> </w:t>
      </w:r>
      <w:r w:rsidR="005D66DD">
        <w:t xml:space="preserve">training initiative </w:t>
      </w:r>
      <w:r w:rsidRPr="00866637">
        <w:t xml:space="preserve">as well as gaining a range of transferable workplace skills. It is also an opportunity to develop networks with potential employers. </w:t>
      </w:r>
    </w:p>
    <w:p w14:paraId="2EEAF03E" w14:textId="77777777" w:rsidR="00866637" w:rsidRPr="00866637" w:rsidRDefault="00866637" w:rsidP="00866637"/>
    <w:p w14:paraId="060F4DD9" w14:textId="77777777" w:rsidR="00866637" w:rsidRDefault="00866637" w:rsidP="00866637">
      <w:r w:rsidRPr="00866637">
        <w:t xml:space="preserve">The duration of a WEP for </w:t>
      </w:r>
      <w:r w:rsidR="005D66DD">
        <w:t>a Skilled Capital student</w:t>
      </w:r>
      <w:r w:rsidRPr="00866637">
        <w:t xml:space="preserve"> will be a minimum of 5 days and a maximum of 10 days in one workplace.  WEPs are to be commenced and completed</w:t>
      </w:r>
      <w:r w:rsidR="006121C4">
        <w:t xml:space="preserve"> after</w:t>
      </w:r>
      <w:r w:rsidRPr="00866637">
        <w:t xml:space="preserve"> the commencement date</w:t>
      </w:r>
      <w:r w:rsidR="00CA61E5">
        <w:t xml:space="preserve"> of training</w:t>
      </w:r>
      <w:r w:rsidRPr="00866637">
        <w:t xml:space="preserve"> and </w:t>
      </w:r>
      <w:r w:rsidR="006121C4">
        <w:t>within three months of completing the qualification</w:t>
      </w:r>
      <w:r w:rsidR="00BF766A">
        <w:t xml:space="preserve">.  </w:t>
      </w:r>
    </w:p>
    <w:p w14:paraId="142A30B6" w14:textId="77777777" w:rsidR="00866637" w:rsidRPr="00866637" w:rsidRDefault="00866637" w:rsidP="00866637"/>
    <w:p w14:paraId="319B7668" w14:textId="77777777" w:rsidR="00866637" w:rsidRPr="00866637" w:rsidRDefault="00535D26" w:rsidP="00866637">
      <w:pPr>
        <w:rPr>
          <w:rFonts w:cs="Calibri"/>
        </w:rPr>
      </w:pPr>
      <w:r>
        <w:rPr>
          <w:rFonts w:cs="Calibri"/>
          <w:b/>
          <w:bCs/>
          <w:color w:val="000000"/>
          <w:lang w:eastAsia="en-AU"/>
        </w:rPr>
        <w:t>Students</w:t>
      </w:r>
      <w:r w:rsidRPr="00866637">
        <w:rPr>
          <w:rFonts w:cs="Calibri"/>
          <w:b/>
          <w:bCs/>
          <w:color w:val="000000"/>
          <w:lang w:eastAsia="en-AU"/>
        </w:rPr>
        <w:t xml:space="preserve"> </w:t>
      </w:r>
      <w:r w:rsidR="00866637" w:rsidRPr="00866637">
        <w:rPr>
          <w:rFonts w:cs="Calibri"/>
          <w:b/>
          <w:bCs/>
          <w:color w:val="000000"/>
          <w:lang w:eastAsia="en-AU"/>
        </w:rPr>
        <w:t xml:space="preserve">must not be paid </w:t>
      </w:r>
      <w:r w:rsidR="00866637" w:rsidRPr="00866637">
        <w:rPr>
          <w:rFonts w:cs="Calibri"/>
          <w:color w:val="000000"/>
          <w:lang w:eastAsia="en-AU"/>
        </w:rPr>
        <w:t xml:space="preserve">while on a WEP.  Any remuneration made by the WEP employer will mean that the </w:t>
      </w:r>
      <w:r w:rsidR="005D66DD">
        <w:rPr>
          <w:rFonts w:cs="Calibri"/>
          <w:color w:val="000000"/>
          <w:lang w:eastAsia="en-AU"/>
        </w:rPr>
        <w:t>student</w:t>
      </w:r>
      <w:r w:rsidR="005D66DD" w:rsidRPr="00866637">
        <w:rPr>
          <w:rFonts w:cs="Calibri"/>
          <w:color w:val="000000"/>
          <w:lang w:eastAsia="en-AU"/>
        </w:rPr>
        <w:t xml:space="preserve"> </w:t>
      </w:r>
      <w:r w:rsidR="00866637" w:rsidRPr="00866637">
        <w:rPr>
          <w:rFonts w:cs="Calibri"/>
          <w:color w:val="000000"/>
          <w:lang w:eastAsia="en-AU"/>
        </w:rPr>
        <w:t>is now considered to be a ‘worker’ and responsibility will rest with the employer to provide workers’ compensation and insurance cover for accident or injury.  There should be no reduction in work or job opportunities available to paid employees or prospective employees as a result of the WEP.</w:t>
      </w:r>
    </w:p>
    <w:p w14:paraId="341A47C7" w14:textId="77777777" w:rsidR="00866637" w:rsidRPr="005D66DD" w:rsidRDefault="0031553C" w:rsidP="00866637">
      <w:pPr>
        <w:pStyle w:val="Heading1"/>
        <w:rPr>
          <w:color w:val="auto"/>
        </w:rPr>
      </w:pPr>
      <w:r w:rsidRPr="005D66DD">
        <w:rPr>
          <w:color w:val="auto"/>
        </w:rPr>
        <w:t xml:space="preserve">Student </w:t>
      </w:r>
      <w:r w:rsidR="00866637" w:rsidRPr="005D66DD">
        <w:rPr>
          <w:color w:val="auto"/>
        </w:rPr>
        <w:t>Responsibilities</w:t>
      </w:r>
    </w:p>
    <w:p w14:paraId="6F406885" w14:textId="77777777" w:rsidR="00866637" w:rsidRPr="00866637" w:rsidRDefault="00866637" w:rsidP="00866637">
      <w:r w:rsidRPr="00866637">
        <w:t xml:space="preserve">The </w:t>
      </w:r>
      <w:r w:rsidR="00535D26">
        <w:t>student</w:t>
      </w:r>
      <w:r w:rsidR="00535D26" w:rsidRPr="00866637">
        <w:t xml:space="preserve">’s </w:t>
      </w:r>
      <w:r w:rsidRPr="00866637">
        <w:t>responsibilities for a WEP are as follows:</w:t>
      </w:r>
    </w:p>
    <w:p w14:paraId="14F69E3F" w14:textId="77777777" w:rsidR="00866637" w:rsidRPr="00866637" w:rsidRDefault="00866637" w:rsidP="00AF3801">
      <w:pPr>
        <w:pStyle w:val="ListParagraph"/>
        <w:spacing w:before="80"/>
        <w:ind w:left="714" w:hanging="357"/>
      </w:pPr>
      <w:r w:rsidRPr="00866637">
        <w:t xml:space="preserve">attend the WEP on the agreed dates </w:t>
      </w:r>
    </w:p>
    <w:p w14:paraId="542187F7" w14:textId="77777777" w:rsidR="00C86A09" w:rsidRPr="00866637" w:rsidRDefault="00C86A09" w:rsidP="00AF3801">
      <w:pPr>
        <w:pStyle w:val="ListParagraph"/>
        <w:spacing w:before="80"/>
        <w:ind w:left="714" w:hanging="357"/>
      </w:pPr>
      <w:r w:rsidRPr="00866637">
        <w:t>notify both the workplace supervisor and registered training organisation (RTO) work placement coordinator if unable to attend</w:t>
      </w:r>
    </w:p>
    <w:p w14:paraId="2569E799" w14:textId="77777777" w:rsidR="00866637" w:rsidRPr="00866637" w:rsidRDefault="00866637" w:rsidP="00AF3801">
      <w:pPr>
        <w:pStyle w:val="ListParagraph"/>
        <w:spacing w:before="80"/>
        <w:ind w:left="714" w:hanging="357"/>
      </w:pPr>
      <w:r w:rsidRPr="00866637">
        <w:t>perform duties as requested and comply with all reasonable directions given by the WEP employer</w:t>
      </w:r>
    </w:p>
    <w:p w14:paraId="6AE69C64" w14:textId="77777777" w:rsidR="00866637" w:rsidRPr="00866637" w:rsidRDefault="00866637" w:rsidP="00AF3801">
      <w:pPr>
        <w:pStyle w:val="ListParagraph"/>
        <w:spacing w:before="80"/>
        <w:ind w:left="714" w:hanging="357"/>
      </w:pPr>
      <w:r w:rsidRPr="00866637">
        <w:t xml:space="preserve">ensure dress and behaviour are in keeping with the accepted standards of the workplace </w:t>
      </w:r>
    </w:p>
    <w:p w14:paraId="2C0A90EE" w14:textId="77777777" w:rsidR="00866637" w:rsidRPr="00866637" w:rsidRDefault="00866637" w:rsidP="00AF3801">
      <w:pPr>
        <w:pStyle w:val="ListParagraph"/>
        <w:spacing w:before="80"/>
        <w:ind w:left="714" w:hanging="357"/>
      </w:pPr>
      <w:r w:rsidRPr="00866637">
        <w:t xml:space="preserve">promptly tell the workplace supervisor and RTO work placement coordinator of any personal injury or damage to property that has involved the </w:t>
      </w:r>
      <w:r w:rsidR="00535D26">
        <w:t>student</w:t>
      </w:r>
      <w:r w:rsidR="005D66DD">
        <w:t>.</w:t>
      </w:r>
    </w:p>
    <w:p w14:paraId="2C66C3D1" w14:textId="77777777" w:rsidR="00866637" w:rsidRPr="005D66DD" w:rsidRDefault="00866637" w:rsidP="00866637">
      <w:pPr>
        <w:pStyle w:val="Heading1"/>
        <w:rPr>
          <w:color w:val="auto"/>
        </w:rPr>
      </w:pPr>
      <w:r w:rsidRPr="005D66DD">
        <w:rPr>
          <w:color w:val="auto"/>
        </w:rPr>
        <w:t>WEP Employer Responsibilities</w:t>
      </w:r>
    </w:p>
    <w:p w14:paraId="7D72FC18" w14:textId="77777777" w:rsidR="00866637" w:rsidRPr="00866637" w:rsidRDefault="00866637" w:rsidP="00866637">
      <w:r w:rsidRPr="00866637">
        <w:t>The WEP employer’s responsibilities for a WEP are as follows:</w:t>
      </w:r>
    </w:p>
    <w:p w14:paraId="3F3E1663" w14:textId="77777777" w:rsidR="00866637" w:rsidRPr="00866637" w:rsidRDefault="00866637" w:rsidP="00AF3801">
      <w:pPr>
        <w:pStyle w:val="ListParagraph"/>
        <w:spacing w:before="80"/>
        <w:ind w:left="714" w:hanging="357"/>
      </w:pPr>
      <w:r w:rsidRPr="00866637">
        <w:t xml:space="preserve">understand the obligation of care for the </w:t>
      </w:r>
      <w:r w:rsidR="00535D26">
        <w:t>student</w:t>
      </w:r>
      <w:r w:rsidRPr="00866637">
        <w:t xml:space="preserve"> under Workplace, Health and Safety Acts</w:t>
      </w:r>
    </w:p>
    <w:p w14:paraId="4BED9C92" w14:textId="77777777" w:rsidR="00866637" w:rsidRPr="00866637" w:rsidRDefault="00866637" w:rsidP="00AF3801">
      <w:pPr>
        <w:pStyle w:val="ListParagraph"/>
        <w:spacing w:before="80"/>
        <w:ind w:left="714" w:hanging="357"/>
      </w:pPr>
      <w:r w:rsidRPr="00866637">
        <w:t xml:space="preserve">inform the </w:t>
      </w:r>
      <w:r w:rsidR="00535D26">
        <w:t>student</w:t>
      </w:r>
      <w:r w:rsidR="00535D26" w:rsidRPr="00866637">
        <w:t xml:space="preserve"> </w:t>
      </w:r>
      <w:r w:rsidRPr="00866637">
        <w:t>of safety requirements in the workplace</w:t>
      </w:r>
    </w:p>
    <w:p w14:paraId="759C6740" w14:textId="77777777" w:rsidR="00866637" w:rsidRPr="00866637" w:rsidRDefault="00866637" w:rsidP="00AF3801">
      <w:pPr>
        <w:pStyle w:val="ListParagraph"/>
        <w:spacing w:before="80"/>
        <w:ind w:left="714" w:hanging="357"/>
      </w:pPr>
      <w:r w:rsidRPr="00866637">
        <w:t>provide meaningful activities and appropriate direction and supervision</w:t>
      </w:r>
    </w:p>
    <w:p w14:paraId="0C31F6C4" w14:textId="77777777" w:rsidR="00866637" w:rsidRPr="00866637" w:rsidRDefault="00866637" w:rsidP="00AF3801">
      <w:pPr>
        <w:pStyle w:val="ListParagraph"/>
        <w:spacing w:before="80"/>
        <w:ind w:left="714" w:hanging="357"/>
      </w:pPr>
      <w:r w:rsidRPr="00866637">
        <w:t xml:space="preserve">notify the RTO immediately of any incident involving the </w:t>
      </w:r>
      <w:r w:rsidR="00535D26">
        <w:t>student</w:t>
      </w:r>
      <w:r w:rsidRPr="00866637">
        <w:t>, any actions undertaken and damages to property involving the participant</w:t>
      </w:r>
    </w:p>
    <w:p w14:paraId="73D4820F" w14:textId="77777777" w:rsidR="00866637" w:rsidRPr="00866637" w:rsidRDefault="00866637" w:rsidP="00AF3801">
      <w:pPr>
        <w:pStyle w:val="ListParagraph"/>
        <w:spacing w:before="80"/>
        <w:ind w:left="714" w:hanging="357"/>
      </w:pPr>
      <w:r w:rsidRPr="00866637">
        <w:t xml:space="preserve">ensure that the </w:t>
      </w:r>
      <w:r w:rsidR="00535D26">
        <w:t>student</w:t>
      </w:r>
      <w:r w:rsidR="00535D26" w:rsidRPr="00866637">
        <w:t xml:space="preserve"> </w:t>
      </w:r>
      <w:r w:rsidRPr="00866637">
        <w:t>is not paid for the WEP</w:t>
      </w:r>
    </w:p>
    <w:p w14:paraId="3A8E76E1" w14:textId="77777777" w:rsidR="00866637" w:rsidRPr="00866637" w:rsidRDefault="00866637" w:rsidP="00AF3801">
      <w:pPr>
        <w:pStyle w:val="ListParagraph"/>
        <w:spacing w:before="80"/>
        <w:ind w:left="714" w:hanging="357"/>
      </w:pPr>
      <w:r w:rsidRPr="00866637">
        <w:t xml:space="preserve">notify the RTO of any absences by the </w:t>
      </w:r>
      <w:r w:rsidR="00535D26">
        <w:t>student</w:t>
      </w:r>
      <w:r w:rsidR="005D66DD">
        <w:t>.</w:t>
      </w:r>
    </w:p>
    <w:p w14:paraId="06737247" w14:textId="77777777" w:rsidR="00866637" w:rsidRPr="005D66DD" w:rsidRDefault="00866637" w:rsidP="00866637">
      <w:pPr>
        <w:pStyle w:val="Heading1"/>
        <w:rPr>
          <w:color w:val="auto"/>
        </w:rPr>
      </w:pPr>
      <w:r w:rsidRPr="005D66DD">
        <w:rPr>
          <w:color w:val="auto"/>
        </w:rPr>
        <w:t>RTO Responsibilities</w:t>
      </w:r>
    </w:p>
    <w:p w14:paraId="15F3CDC9" w14:textId="77777777" w:rsidR="00866637" w:rsidRPr="00866637" w:rsidRDefault="00866637" w:rsidP="00866637">
      <w:r w:rsidRPr="00866637">
        <w:t>The RTO’s responsibilities for a WEP are as follows:</w:t>
      </w:r>
    </w:p>
    <w:p w14:paraId="452A5024" w14:textId="77777777" w:rsidR="00866637" w:rsidRPr="00866637" w:rsidRDefault="00866637" w:rsidP="00AF3801">
      <w:pPr>
        <w:pStyle w:val="ListParagraph"/>
        <w:spacing w:before="80"/>
        <w:ind w:left="714" w:hanging="357"/>
      </w:pPr>
      <w:r w:rsidRPr="00866637">
        <w:t xml:space="preserve">contact employers to arrange the WEP for participants  </w:t>
      </w:r>
    </w:p>
    <w:p w14:paraId="035150CB" w14:textId="77777777" w:rsidR="00866637" w:rsidRPr="00866637" w:rsidRDefault="00866637" w:rsidP="00AF3801">
      <w:pPr>
        <w:pStyle w:val="ListParagraph"/>
        <w:spacing w:before="80"/>
        <w:ind w:left="714" w:hanging="357"/>
      </w:pPr>
      <w:r w:rsidRPr="00866637">
        <w:t xml:space="preserve">ensure the WEP is related to the training the </w:t>
      </w:r>
      <w:r w:rsidR="00535D26">
        <w:t>student</w:t>
      </w:r>
      <w:r w:rsidR="00535D26" w:rsidRPr="00866637">
        <w:t xml:space="preserve"> </w:t>
      </w:r>
      <w:r w:rsidRPr="00866637">
        <w:t>has undertaken with the RTO</w:t>
      </w:r>
    </w:p>
    <w:p w14:paraId="61953BCF" w14:textId="3E63BD44" w:rsidR="00866637" w:rsidRPr="00866637" w:rsidRDefault="00866637" w:rsidP="00AF3801">
      <w:pPr>
        <w:pStyle w:val="ListParagraph"/>
        <w:spacing w:before="80"/>
        <w:ind w:left="714" w:hanging="357"/>
        <w:rPr>
          <w:i/>
        </w:rPr>
      </w:pPr>
      <w:r w:rsidRPr="00866637">
        <w:t xml:space="preserve">ensure all parties have completed and signed the </w:t>
      </w:r>
      <w:hyperlink r:id="rId7" w:history="1">
        <w:r w:rsidR="005D66DD" w:rsidRPr="00D93B84">
          <w:rPr>
            <w:rStyle w:val="Hyperlink"/>
            <w:bCs/>
            <w:i/>
          </w:rPr>
          <w:t>Skilled Capital</w:t>
        </w:r>
        <w:r w:rsidRPr="00D93B84">
          <w:rPr>
            <w:rStyle w:val="Hyperlink"/>
            <w:bCs/>
            <w:i/>
          </w:rPr>
          <w:t xml:space="preserve"> Work Experience Placement Agreement</w:t>
        </w:r>
      </w:hyperlink>
      <w:r w:rsidRPr="00866637">
        <w:rPr>
          <w:bCs/>
          <w:i/>
        </w:rPr>
        <w:t xml:space="preserve"> </w:t>
      </w:r>
    </w:p>
    <w:p w14:paraId="352459A8" w14:textId="77777777" w:rsidR="00866637" w:rsidRPr="00866637" w:rsidRDefault="00866637" w:rsidP="00AF3801">
      <w:pPr>
        <w:pStyle w:val="ListParagraph"/>
        <w:spacing w:before="80"/>
        <w:ind w:left="714" w:hanging="357"/>
      </w:pPr>
      <w:r w:rsidRPr="00866637">
        <w:t xml:space="preserve">ensure the </w:t>
      </w:r>
      <w:r w:rsidR="00535D26">
        <w:t>student</w:t>
      </w:r>
      <w:r w:rsidRPr="00866637">
        <w:t xml:space="preserve"> is prepared for the WEP.  For example, a c</w:t>
      </w:r>
      <w:r w:rsidRPr="00866637">
        <w:rPr>
          <w:lang w:eastAsia="en-AU"/>
        </w:rPr>
        <w:t xml:space="preserve">onstruction induction ‘White Card’ training is mandatory for </w:t>
      </w:r>
      <w:r w:rsidR="00535D26">
        <w:rPr>
          <w:lang w:eastAsia="en-AU"/>
        </w:rPr>
        <w:t>student</w:t>
      </w:r>
      <w:r w:rsidRPr="00866637">
        <w:rPr>
          <w:lang w:eastAsia="en-AU"/>
        </w:rPr>
        <w:t>s attending building sites</w:t>
      </w:r>
    </w:p>
    <w:p w14:paraId="4E904A43" w14:textId="77777777" w:rsidR="00866637" w:rsidRPr="00866637" w:rsidRDefault="00866637" w:rsidP="00AF3801">
      <w:pPr>
        <w:pStyle w:val="ListParagraph"/>
        <w:spacing w:before="80"/>
        <w:ind w:left="714" w:hanging="357"/>
      </w:pPr>
      <w:r w:rsidRPr="00866637">
        <w:t xml:space="preserve">ensure the WEP occurs </w:t>
      </w:r>
    </w:p>
    <w:p w14:paraId="107DCA14" w14:textId="77777777" w:rsidR="00866637" w:rsidRPr="00866637" w:rsidRDefault="00866637" w:rsidP="00AF3801">
      <w:pPr>
        <w:pStyle w:val="ListParagraph"/>
        <w:spacing w:before="80"/>
        <w:ind w:left="714" w:hanging="357"/>
        <w:rPr>
          <w:rFonts w:cs="Calibri"/>
        </w:rPr>
      </w:pPr>
      <w:r w:rsidRPr="00866637">
        <w:rPr>
          <w:rFonts w:cs="Calibri"/>
        </w:rPr>
        <w:lastRenderedPageBreak/>
        <w:t xml:space="preserve">contact the WEP employer on the first day of the WEP to confirm the </w:t>
      </w:r>
      <w:r w:rsidR="00535D26">
        <w:rPr>
          <w:rFonts w:cs="Calibri"/>
        </w:rPr>
        <w:t>student</w:t>
      </w:r>
      <w:r w:rsidRPr="00866637">
        <w:rPr>
          <w:rFonts w:cs="Calibri"/>
        </w:rPr>
        <w:t xml:space="preserve">’s attendance. </w:t>
      </w:r>
    </w:p>
    <w:p w14:paraId="44BE1DA8" w14:textId="77777777" w:rsidR="00866637" w:rsidRPr="00866637" w:rsidRDefault="00866637" w:rsidP="00AF3801">
      <w:pPr>
        <w:pStyle w:val="ListParagraph"/>
        <w:spacing w:before="80"/>
        <w:ind w:left="714" w:hanging="357"/>
      </w:pPr>
      <w:r w:rsidRPr="00866637">
        <w:t xml:space="preserve">visit the </w:t>
      </w:r>
      <w:r w:rsidR="00535D26">
        <w:t>student</w:t>
      </w:r>
      <w:r w:rsidRPr="00866637">
        <w:t xml:space="preserve"> at the WEP once per five day period during the placement</w:t>
      </w:r>
    </w:p>
    <w:p w14:paraId="4C849F4E" w14:textId="77777777" w:rsidR="00866637" w:rsidRPr="00866637" w:rsidRDefault="00866637" w:rsidP="00AF3801">
      <w:pPr>
        <w:pStyle w:val="ListParagraph"/>
        <w:spacing w:before="80"/>
        <w:ind w:left="714" w:hanging="357"/>
        <w:rPr>
          <w:rFonts w:cs="Calibri"/>
        </w:rPr>
      </w:pPr>
      <w:r w:rsidRPr="00866637">
        <w:rPr>
          <w:rFonts w:cs="Calibri"/>
        </w:rPr>
        <w:t xml:space="preserve">gather feedback from both </w:t>
      </w:r>
      <w:r w:rsidR="00535D26">
        <w:rPr>
          <w:rFonts w:cs="Calibri"/>
        </w:rPr>
        <w:t>student</w:t>
      </w:r>
      <w:r w:rsidRPr="00866637">
        <w:rPr>
          <w:rFonts w:cs="Calibri"/>
        </w:rPr>
        <w:t xml:space="preserve"> and WEP provider to evaluate the placement</w:t>
      </w:r>
    </w:p>
    <w:p w14:paraId="16E0550C" w14:textId="77777777" w:rsidR="00866637" w:rsidRPr="00866637" w:rsidRDefault="00866637" w:rsidP="00AF3801">
      <w:pPr>
        <w:pStyle w:val="ListParagraph"/>
        <w:spacing w:before="80"/>
        <w:ind w:left="714" w:hanging="357"/>
        <w:rPr>
          <w:lang w:val="en-US"/>
        </w:rPr>
      </w:pPr>
      <w:r w:rsidRPr="00866637">
        <w:t xml:space="preserve">have a process to </w:t>
      </w:r>
      <w:r w:rsidRPr="00866637">
        <w:rPr>
          <w:lang w:val="en-US"/>
        </w:rPr>
        <w:t xml:space="preserve">advise the Group Personal Accident Insurance broker, Marsh Pty Ltd immediately if an event occurs or a potential situation arises that could result in a claim. Marsh Pty Ltd will arrange for the RTO to receive the appropriate documents to lodge a claim.  </w:t>
      </w:r>
    </w:p>
    <w:p w14:paraId="372B5B71" w14:textId="77777777" w:rsidR="00866637" w:rsidRPr="005D66DD" w:rsidRDefault="00866637" w:rsidP="00866637">
      <w:pPr>
        <w:pStyle w:val="Heading1"/>
        <w:rPr>
          <w:color w:val="auto"/>
        </w:rPr>
      </w:pPr>
      <w:r w:rsidRPr="005D66DD">
        <w:rPr>
          <w:color w:val="auto"/>
        </w:rPr>
        <w:t>Insurance</w:t>
      </w:r>
    </w:p>
    <w:p w14:paraId="155FCCBA" w14:textId="77777777" w:rsidR="00866637" w:rsidRDefault="00866637" w:rsidP="00866637">
      <w:r w:rsidRPr="00866637">
        <w:t xml:space="preserve">The </w:t>
      </w:r>
      <w:r w:rsidR="006121C4">
        <w:t>Chief Minister, Treasury and Economic Development</w:t>
      </w:r>
      <w:r w:rsidRPr="00866637">
        <w:t xml:space="preserve"> Directorate (the Directorate) has purchased Group Personal Accident Insurance Cover through Marsh Pty Ltd.  The coverage is for </w:t>
      </w:r>
      <w:r w:rsidR="00535D26" w:rsidRPr="00670232">
        <w:t>student</w:t>
      </w:r>
      <w:r w:rsidRPr="00670232">
        <w:t xml:space="preserve">s who </w:t>
      </w:r>
      <w:r w:rsidR="006121C4">
        <w:t xml:space="preserve">have a </w:t>
      </w:r>
      <w:r w:rsidR="00CA61E5">
        <w:t>completed a</w:t>
      </w:r>
      <w:r w:rsidR="006121C4">
        <w:t xml:space="preserve"> </w:t>
      </w:r>
      <w:r w:rsidR="00CE3244" w:rsidRPr="00CE3244">
        <w:rPr>
          <w:i/>
        </w:rPr>
        <w:t>Skilled Capital Work Experience Placement Agreement</w:t>
      </w:r>
      <w:r w:rsidR="006121C4">
        <w:t xml:space="preserve"> and </w:t>
      </w:r>
      <w:r w:rsidRPr="00670232">
        <w:t xml:space="preserve">are enrolled in </w:t>
      </w:r>
      <w:r w:rsidR="006121C4">
        <w:t xml:space="preserve">or have completed </w:t>
      </w:r>
      <w:r w:rsidRPr="00670232">
        <w:t xml:space="preserve">a </w:t>
      </w:r>
      <w:r w:rsidR="00AF3801" w:rsidRPr="00670232">
        <w:t>Skilled Capital qualification</w:t>
      </w:r>
      <w:r w:rsidRPr="00670232">
        <w:t xml:space="preserve"> </w:t>
      </w:r>
      <w:r w:rsidR="006121C4">
        <w:t>in the previous three months</w:t>
      </w:r>
      <w:r w:rsidR="00AF3801" w:rsidRPr="00670232">
        <w:t>.</w:t>
      </w:r>
    </w:p>
    <w:p w14:paraId="173DCAC6" w14:textId="77777777" w:rsidR="005D66DD" w:rsidRPr="00AF3801" w:rsidRDefault="005D66DD" w:rsidP="00866637">
      <w:pPr>
        <w:rPr>
          <w:rFonts w:cs="Calibri"/>
          <w:color w:val="000000"/>
          <w:lang w:eastAsia="en-AU"/>
        </w:rPr>
      </w:pPr>
    </w:p>
    <w:p w14:paraId="3898C12E" w14:textId="77777777" w:rsidR="00866637" w:rsidRPr="00866637" w:rsidRDefault="00866637" w:rsidP="00866637">
      <w:pPr>
        <w:rPr>
          <w:rFonts w:cs="Calibri"/>
          <w:color w:val="000000"/>
          <w:lang w:eastAsia="en-AU"/>
        </w:rPr>
      </w:pPr>
      <w:r w:rsidRPr="00866637">
        <w:rPr>
          <w:rFonts w:cs="Calibri"/>
          <w:color w:val="000000"/>
          <w:lang w:eastAsia="en-AU"/>
        </w:rPr>
        <w:t xml:space="preserve">The Group Personal Accident Insurance Cover policy provided by the Directorate does not pay doctors’ bills or other medical accounts that are recoverable under Medicare.  </w:t>
      </w:r>
    </w:p>
    <w:p w14:paraId="5737E4D7" w14:textId="77777777" w:rsidR="00866637" w:rsidRPr="00866637" w:rsidRDefault="00866637" w:rsidP="00866637">
      <w:pPr>
        <w:rPr>
          <w:rFonts w:cs="Calibri"/>
          <w:color w:val="000000"/>
          <w:lang w:eastAsia="en-AU"/>
        </w:rPr>
      </w:pPr>
    </w:p>
    <w:p w14:paraId="1652F1DC" w14:textId="77777777" w:rsidR="00866637" w:rsidRPr="00866637" w:rsidRDefault="00866637" w:rsidP="00866637">
      <w:pPr>
        <w:rPr>
          <w:rFonts w:cs="Calibri"/>
          <w:color w:val="000000"/>
          <w:lang w:eastAsia="en-AU"/>
        </w:rPr>
      </w:pPr>
      <w:r w:rsidRPr="00866637">
        <w:rPr>
          <w:rFonts w:cs="Calibri"/>
          <w:color w:val="000000"/>
          <w:lang w:eastAsia="en-AU"/>
        </w:rPr>
        <w:t xml:space="preserve">In the event of an accident or an incident which involves injury or death, the RTO must notify the Directorate and the Directorate’s insurance broker (Marsh Pty Ltd) as outlined below.   </w:t>
      </w:r>
    </w:p>
    <w:p w14:paraId="07155207" w14:textId="77777777" w:rsidR="00866637" w:rsidRPr="005D66DD" w:rsidRDefault="00866637" w:rsidP="00866637">
      <w:pPr>
        <w:pStyle w:val="Heading1"/>
        <w:rPr>
          <w:color w:val="auto"/>
        </w:rPr>
      </w:pPr>
      <w:r w:rsidRPr="005D66DD">
        <w:rPr>
          <w:color w:val="auto"/>
        </w:rPr>
        <w:t xml:space="preserve">Procedure in the event of an accident or incident </w:t>
      </w:r>
    </w:p>
    <w:p w14:paraId="57F8867F" w14:textId="77777777" w:rsidR="00866637" w:rsidRPr="00866637" w:rsidRDefault="00866637" w:rsidP="00866637">
      <w:pPr>
        <w:pStyle w:val="ListParagraph"/>
        <w:numPr>
          <w:ilvl w:val="0"/>
          <w:numId w:val="13"/>
        </w:numPr>
      </w:pPr>
      <w:r w:rsidRPr="00866637">
        <w:t xml:space="preserve">The WEP employer takes appropriate medical measures </w:t>
      </w:r>
    </w:p>
    <w:p w14:paraId="744C9990" w14:textId="77777777" w:rsidR="00866637" w:rsidRPr="00866637" w:rsidRDefault="00866637" w:rsidP="00866637">
      <w:pPr>
        <w:pStyle w:val="ListParagraph"/>
        <w:numPr>
          <w:ilvl w:val="0"/>
          <w:numId w:val="13"/>
        </w:numPr>
      </w:pPr>
      <w:r w:rsidRPr="00866637">
        <w:t xml:space="preserve">The WEP employer immediately contacts the RTO to advise of the accident/incident   </w:t>
      </w:r>
    </w:p>
    <w:p w14:paraId="39AC2AF0" w14:textId="77777777" w:rsidR="00866637" w:rsidRPr="00866637" w:rsidRDefault="00866637" w:rsidP="00866637">
      <w:pPr>
        <w:pStyle w:val="ListParagraph"/>
        <w:numPr>
          <w:ilvl w:val="0"/>
          <w:numId w:val="13"/>
        </w:numPr>
      </w:pPr>
      <w:r w:rsidRPr="00866637">
        <w:t xml:space="preserve">The RTO contacts the parent/guardian/carer of the </w:t>
      </w:r>
      <w:r w:rsidR="00535D26">
        <w:t>student</w:t>
      </w:r>
    </w:p>
    <w:p w14:paraId="1CF81C52" w14:textId="7553645D" w:rsidR="00866637" w:rsidRPr="00866637" w:rsidRDefault="00866637" w:rsidP="00866637">
      <w:pPr>
        <w:pStyle w:val="ListParagraph"/>
        <w:numPr>
          <w:ilvl w:val="0"/>
          <w:numId w:val="13"/>
        </w:numPr>
        <w:rPr>
          <w:color w:val="000000"/>
          <w:sz w:val="14"/>
          <w:lang w:eastAsia="en-AU"/>
        </w:rPr>
      </w:pPr>
      <w:r w:rsidRPr="00866637">
        <w:t xml:space="preserve">The RTO </w:t>
      </w:r>
      <w:r w:rsidRPr="00866637">
        <w:rPr>
          <w:lang w:val="en-US"/>
        </w:rPr>
        <w:t xml:space="preserve">immediately advises Marsh Pty Ltd when an event occurs or a potential situation arises that could result in a claim. The </w:t>
      </w:r>
      <w:r w:rsidRPr="00866637">
        <w:rPr>
          <w:color w:val="000000"/>
          <w:lang w:eastAsia="en-AU"/>
        </w:rPr>
        <w:t xml:space="preserve">website is: </w:t>
      </w:r>
      <w:hyperlink r:id="rId8" w:history="1">
        <w:r w:rsidR="00A33268" w:rsidRPr="00B82112">
          <w:rPr>
            <w:rStyle w:val="Hyperlink"/>
          </w:rPr>
          <w:t>https://www.marsh.com/au/contact-us.html</w:t>
        </w:r>
      </w:hyperlink>
      <w:r w:rsidR="00A33268">
        <w:t xml:space="preserve"> </w:t>
      </w:r>
      <w:r w:rsidRPr="00866637">
        <w:rPr>
          <w:color w:val="000000"/>
          <w:lang w:eastAsia="en-AU"/>
        </w:rPr>
        <w:t xml:space="preserve">or telephone </w:t>
      </w:r>
      <w:r w:rsidR="00A33268">
        <w:rPr>
          <w:color w:val="000000"/>
          <w:lang w:eastAsia="en-AU"/>
        </w:rPr>
        <w:br/>
        <w:t xml:space="preserve">(02) </w:t>
      </w:r>
      <w:r w:rsidRPr="00866637">
        <w:rPr>
          <w:color w:val="000000"/>
          <w:lang w:eastAsia="en-AU"/>
        </w:rPr>
        <w:t xml:space="preserve">6279 3300 to report the accident/incident and seek clarification on next steps </w:t>
      </w:r>
    </w:p>
    <w:p w14:paraId="7563352D" w14:textId="77777777" w:rsidR="00866637" w:rsidRPr="00866637" w:rsidRDefault="00866637" w:rsidP="00866637">
      <w:pPr>
        <w:pStyle w:val="ListParagraph"/>
        <w:numPr>
          <w:ilvl w:val="0"/>
          <w:numId w:val="13"/>
        </w:numPr>
        <w:rPr>
          <w:lang w:val="en-US"/>
        </w:rPr>
      </w:pPr>
      <w:r w:rsidRPr="00866637">
        <w:rPr>
          <w:lang w:val="en-US"/>
        </w:rPr>
        <w:t xml:space="preserve">If necessary, the insurance broker will organise the appropriate documents to lodge a claim  </w:t>
      </w:r>
    </w:p>
    <w:p w14:paraId="79FBF2CF" w14:textId="77777777" w:rsidR="00866637" w:rsidRPr="00866637" w:rsidRDefault="00866637" w:rsidP="00866637">
      <w:pPr>
        <w:pStyle w:val="ListParagraph"/>
        <w:numPr>
          <w:ilvl w:val="0"/>
          <w:numId w:val="13"/>
        </w:numPr>
      </w:pPr>
      <w:r w:rsidRPr="00866637">
        <w:t>The RTO collects the appropriate information and completes the documentation as required by the insurance broker</w:t>
      </w:r>
    </w:p>
    <w:p w14:paraId="519EEBF4" w14:textId="128BD220" w:rsidR="00866637" w:rsidRPr="00A33268" w:rsidRDefault="00866637" w:rsidP="00A33268">
      <w:pPr>
        <w:pStyle w:val="ListParagraph"/>
        <w:numPr>
          <w:ilvl w:val="0"/>
          <w:numId w:val="13"/>
        </w:numPr>
      </w:pPr>
      <w:r w:rsidRPr="00866637">
        <w:t xml:space="preserve">The RTO will lodge the appropriate documentation within 30 days of the </w:t>
      </w:r>
      <w:r w:rsidRPr="00866637">
        <w:rPr>
          <w:color w:val="000000"/>
          <w:lang w:eastAsia="en-AU"/>
        </w:rPr>
        <w:t xml:space="preserve">accident/incident </w:t>
      </w:r>
      <w:r w:rsidRPr="00866637">
        <w:t xml:space="preserve">to </w:t>
      </w:r>
      <w:r w:rsidR="00A33268">
        <w:br/>
      </w:r>
      <w:r w:rsidRPr="00866637">
        <w:rPr>
          <w:lang w:eastAsia="en-AU"/>
        </w:rPr>
        <w:t>Marsh Pty L</w:t>
      </w:r>
      <w:r w:rsidRPr="00A33268">
        <w:rPr>
          <w:color w:val="000000"/>
          <w:lang w:eastAsia="en-AU"/>
        </w:rPr>
        <w:t>td</w:t>
      </w:r>
    </w:p>
    <w:p w14:paraId="58CEDA1D" w14:textId="77777777" w:rsidR="00866637" w:rsidRPr="00866637" w:rsidRDefault="00866637" w:rsidP="00866637">
      <w:pPr>
        <w:pStyle w:val="ListParagraph"/>
        <w:numPr>
          <w:ilvl w:val="0"/>
          <w:numId w:val="13"/>
        </w:numPr>
        <w:rPr>
          <w:color w:val="000000"/>
          <w:lang w:eastAsia="en-AU"/>
        </w:rPr>
      </w:pPr>
      <w:r w:rsidRPr="00866637">
        <w:rPr>
          <w:color w:val="000000"/>
          <w:lang w:eastAsia="en-AU"/>
        </w:rPr>
        <w:t xml:space="preserve">The RTO will advise the </w:t>
      </w:r>
      <w:r w:rsidR="00535D26">
        <w:rPr>
          <w:color w:val="000000"/>
          <w:lang w:eastAsia="en-AU"/>
        </w:rPr>
        <w:t>student</w:t>
      </w:r>
      <w:r w:rsidRPr="00866637">
        <w:rPr>
          <w:color w:val="000000"/>
          <w:lang w:eastAsia="en-AU"/>
        </w:rPr>
        <w:t xml:space="preserve"> to claim through Medicare (if possible, they should be referred to a bulk billing doctor to limit their out of pocket expenses) to recover health-related expenses and also advise the </w:t>
      </w:r>
      <w:r w:rsidR="00535D26">
        <w:rPr>
          <w:color w:val="000000"/>
          <w:lang w:eastAsia="en-AU"/>
        </w:rPr>
        <w:t>student</w:t>
      </w:r>
      <w:r w:rsidRPr="00866637">
        <w:rPr>
          <w:color w:val="000000"/>
          <w:lang w:eastAsia="en-AU"/>
        </w:rPr>
        <w:t xml:space="preserve"> that they are not eligible for workers’ compensation benefits </w:t>
      </w:r>
    </w:p>
    <w:p w14:paraId="129268A6" w14:textId="77777777" w:rsidR="00866637" w:rsidRPr="00866637" w:rsidRDefault="00866637" w:rsidP="00866637">
      <w:pPr>
        <w:pStyle w:val="ListParagraph"/>
        <w:numPr>
          <w:ilvl w:val="0"/>
          <w:numId w:val="13"/>
        </w:numPr>
        <w:rPr>
          <w:color w:val="000000"/>
          <w:lang w:eastAsia="en-AU"/>
        </w:rPr>
      </w:pPr>
      <w:r w:rsidRPr="00866637">
        <w:rPr>
          <w:color w:val="000000"/>
          <w:lang w:eastAsia="en-AU"/>
        </w:rPr>
        <w:t>All relevant paperwork should be kept by the RTO as per the Directorate’s recordkeeping standard</w:t>
      </w:r>
    </w:p>
    <w:p w14:paraId="15C5612E" w14:textId="77777777" w:rsidR="00866637" w:rsidRPr="00866637" w:rsidRDefault="00866637" w:rsidP="00866637">
      <w:pPr>
        <w:pStyle w:val="ListParagraph"/>
        <w:numPr>
          <w:ilvl w:val="0"/>
          <w:numId w:val="13"/>
        </w:numPr>
        <w:rPr>
          <w:color w:val="000000"/>
          <w:lang w:eastAsia="en-AU"/>
        </w:rPr>
      </w:pPr>
      <w:r w:rsidRPr="00866637">
        <w:t xml:space="preserve">All insurance claims must also be reported to the Directorate by emailing </w:t>
      </w:r>
      <w:hyperlink r:id="rId9" w:history="1">
        <w:r w:rsidR="00670232" w:rsidRPr="009B3B16">
          <w:rPr>
            <w:rStyle w:val="Hyperlink"/>
            <w:rFonts w:cs="Calibri"/>
          </w:rPr>
          <w:t>skills@act.gov.au</w:t>
        </w:r>
      </w:hyperlink>
    </w:p>
    <w:p w14:paraId="502DD004" w14:textId="77777777" w:rsidR="00866637" w:rsidRDefault="00866637" w:rsidP="00866637">
      <w:pPr>
        <w:pStyle w:val="Default"/>
        <w:ind w:left="360"/>
        <w:rPr>
          <w:rFonts w:ascii="Calibri Light" w:hAnsi="Calibri Light" w:cs="Calibri"/>
          <w:b/>
          <w:bCs/>
          <w:sz w:val="22"/>
          <w:szCs w:val="22"/>
        </w:rPr>
      </w:pPr>
    </w:p>
    <w:p w14:paraId="08920D09" w14:textId="77777777" w:rsidR="00866637" w:rsidRPr="00866637" w:rsidRDefault="00866637" w:rsidP="00AF3801">
      <w:pPr>
        <w:pStyle w:val="Default"/>
        <w:rPr>
          <w:rFonts w:ascii="Calibri Light" w:hAnsi="Calibri Light" w:cs="Calibri"/>
          <w:sz w:val="22"/>
          <w:szCs w:val="22"/>
        </w:rPr>
      </w:pPr>
      <w:r w:rsidRPr="00866637">
        <w:rPr>
          <w:rFonts w:ascii="Calibri Light" w:hAnsi="Calibri Light" w:cs="Calibri"/>
          <w:b/>
          <w:bCs/>
          <w:sz w:val="22"/>
          <w:szCs w:val="22"/>
        </w:rPr>
        <w:t>Note</w:t>
      </w:r>
      <w:r w:rsidRPr="00866637">
        <w:rPr>
          <w:rFonts w:ascii="Calibri Light" w:hAnsi="Calibri Light" w:cs="Calibri"/>
          <w:sz w:val="22"/>
          <w:szCs w:val="22"/>
        </w:rPr>
        <w:t xml:space="preserve">: Insurance providers will not pay compensation where an injured person does not consult a qualified medical practitioner nor follows the suggested treatment. </w:t>
      </w:r>
    </w:p>
    <w:p w14:paraId="660AD51B" w14:textId="77777777" w:rsidR="00866637" w:rsidRPr="00866637" w:rsidRDefault="00866637" w:rsidP="00866637">
      <w:pPr>
        <w:pStyle w:val="NoSpacing"/>
        <w:rPr>
          <w:rFonts w:ascii="Calibri Light" w:hAnsi="Calibri Light"/>
          <w:lang w:eastAsia="en-AU"/>
        </w:rPr>
      </w:pPr>
    </w:p>
    <w:p w14:paraId="489E478C" w14:textId="495942BA" w:rsidR="00866637" w:rsidRPr="00866637" w:rsidRDefault="00866637" w:rsidP="00866637">
      <w:pPr>
        <w:pStyle w:val="NoSpacing"/>
        <w:rPr>
          <w:rFonts w:ascii="Calibri Light" w:hAnsi="Calibri Light" w:cs="Calibri"/>
          <w:color w:val="000000"/>
          <w:sz w:val="20"/>
          <w:lang w:eastAsia="en-AU"/>
        </w:rPr>
      </w:pPr>
      <w:r w:rsidRPr="00866637">
        <w:rPr>
          <w:rFonts w:ascii="Calibri Light" w:hAnsi="Calibri Light"/>
          <w:lang w:eastAsia="en-AU"/>
        </w:rPr>
        <w:t xml:space="preserve">RTOs must read the </w:t>
      </w:r>
      <w:hyperlink r:id="rId10" w:history="1">
        <w:r w:rsidRPr="00DF1CFD">
          <w:rPr>
            <w:rStyle w:val="Hyperlink"/>
            <w:rFonts w:ascii="Calibri Light" w:hAnsi="Calibri Light"/>
            <w:i/>
            <w:lang w:eastAsia="en-AU"/>
          </w:rPr>
          <w:t>Group Personal Accident Policy</w:t>
        </w:r>
      </w:hyperlink>
      <w:r w:rsidRPr="00866637">
        <w:rPr>
          <w:rFonts w:ascii="Calibri Light" w:hAnsi="Calibri Light"/>
          <w:i/>
          <w:lang w:eastAsia="en-AU"/>
        </w:rPr>
        <w:t xml:space="preserve"> </w:t>
      </w:r>
      <w:r w:rsidRPr="00866637">
        <w:rPr>
          <w:rFonts w:ascii="Calibri Light" w:hAnsi="Calibri Light"/>
          <w:lang w:eastAsia="en-AU"/>
        </w:rPr>
        <w:t xml:space="preserve">from Marsh Pty Ltd that provides more detail on the policy coverage and the claim processes.  An </w:t>
      </w:r>
      <w:r w:rsidRPr="00866637">
        <w:rPr>
          <w:rFonts w:ascii="Calibri Light" w:hAnsi="Calibri Light" w:cs="Calibri"/>
          <w:i/>
          <w:color w:val="000000"/>
          <w:lang w:eastAsia="en-AU"/>
        </w:rPr>
        <w:t>Incident Notification Form</w:t>
      </w:r>
      <w:r w:rsidRPr="00866637">
        <w:rPr>
          <w:rFonts w:ascii="Calibri Light" w:hAnsi="Calibri Light" w:cs="Calibri"/>
          <w:color w:val="000000"/>
          <w:lang w:eastAsia="en-AU"/>
        </w:rPr>
        <w:t xml:space="preserve"> can be located on the Marsh Pty Ltd website</w:t>
      </w:r>
      <w:r w:rsidRPr="00866637">
        <w:rPr>
          <w:rFonts w:ascii="Calibri Light" w:hAnsi="Calibri Light" w:cs="Calibri"/>
          <w:color w:val="000000"/>
          <w:sz w:val="24"/>
          <w:lang w:eastAsia="en-AU"/>
        </w:rPr>
        <w:t xml:space="preserve">:   </w:t>
      </w:r>
      <w:hyperlink r:id="rId11" w:history="1">
        <w:r w:rsidR="00CF2FEF" w:rsidRPr="00CF2FEF">
          <w:rPr>
            <w:rStyle w:val="Hyperlink"/>
            <w:rFonts w:ascii="Calibri Light" w:hAnsi="Calibri Light" w:cs="Calibri Light"/>
          </w:rPr>
          <w:t>https://www.marsh.com/au/services/claims.html</w:t>
        </w:r>
      </w:hyperlink>
      <w:r w:rsidR="00CF2FEF">
        <w:t xml:space="preserve">. </w:t>
      </w:r>
      <w:r w:rsidRPr="00866637">
        <w:rPr>
          <w:rFonts w:ascii="Calibri Light" w:hAnsi="Calibri Light" w:cs="Calibri"/>
          <w:color w:val="000000"/>
          <w:sz w:val="20"/>
          <w:lang w:eastAsia="en-AU"/>
        </w:rPr>
        <w:t xml:space="preserve">   </w:t>
      </w:r>
    </w:p>
    <w:p w14:paraId="7B2B9E6C" w14:textId="77777777" w:rsidR="00AF3801" w:rsidRDefault="00AF3801">
      <w:pPr>
        <w:pStyle w:val="NoSpacing"/>
        <w:rPr>
          <w:rFonts w:ascii="Calibri Light" w:hAnsi="Calibri Light"/>
        </w:rPr>
      </w:pPr>
    </w:p>
    <w:p w14:paraId="536989E6" w14:textId="77777777" w:rsidR="004E14B7" w:rsidRDefault="00866637">
      <w:pPr>
        <w:pStyle w:val="NoSpacing"/>
        <w:rPr>
          <w:lang w:eastAsia="en-AU"/>
        </w:rPr>
      </w:pPr>
      <w:r w:rsidRPr="00866637">
        <w:rPr>
          <w:rFonts w:ascii="Calibri Light" w:hAnsi="Calibri Light"/>
        </w:rPr>
        <w:t xml:space="preserve">For further information regarding this insurance coverage, contact </w:t>
      </w:r>
      <w:r w:rsidRPr="00866637">
        <w:rPr>
          <w:rFonts w:ascii="Calibri Light" w:hAnsi="Calibri Light"/>
          <w:lang w:eastAsia="en-AU"/>
        </w:rPr>
        <w:t xml:space="preserve">Marsh Pty Ltd on </w:t>
      </w:r>
      <w:r w:rsidR="00AF3801">
        <w:rPr>
          <w:rFonts w:ascii="Calibri Light" w:hAnsi="Calibri Light"/>
          <w:lang w:eastAsia="en-AU"/>
        </w:rPr>
        <w:t xml:space="preserve">(02) </w:t>
      </w:r>
      <w:r w:rsidRPr="00866637">
        <w:rPr>
          <w:rFonts w:ascii="Calibri Light" w:hAnsi="Calibri Light"/>
          <w:lang w:eastAsia="en-AU"/>
        </w:rPr>
        <w:t>6279 3300.</w:t>
      </w:r>
    </w:p>
    <w:sectPr w:rsidR="004E14B7" w:rsidSect="00670232">
      <w:headerReference w:type="default" r:id="rId12"/>
      <w:footerReference w:type="default" r:id="rId13"/>
      <w:headerReference w:type="first" r:id="rId14"/>
      <w:footerReference w:type="first" r:id="rId15"/>
      <w:pgSz w:w="11906" w:h="16838"/>
      <w:pgMar w:top="734" w:right="849" w:bottom="851" w:left="1134" w:header="283" w:footer="3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62579" w14:textId="77777777" w:rsidR="00313A11" w:rsidRDefault="00313A11" w:rsidP="0015464A">
      <w:pPr>
        <w:spacing w:line="240" w:lineRule="auto"/>
      </w:pPr>
      <w:r>
        <w:separator/>
      </w:r>
    </w:p>
  </w:endnote>
  <w:endnote w:type="continuationSeparator" w:id="0">
    <w:p w14:paraId="425DB997" w14:textId="77777777" w:rsidR="00313A11" w:rsidRDefault="00313A11" w:rsidP="00154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7AAB0" w14:textId="41905E4A" w:rsidR="00313A11" w:rsidRPr="00C35B32" w:rsidRDefault="00313A11" w:rsidP="00C35B32">
    <w:pPr>
      <w:pStyle w:val="Footer"/>
      <w:pBdr>
        <w:top w:val="single" w:sz="2" w:space="1" w:color="76923C"/>
      </w:pBdr>
      <w:spacing w:line="240" w:lineRule="auto"/>
      <w:rPr>
        <w:color w:val="595959"/>
      </w:rPr>
    </w:pPr>
    <w:r w:rsidRPr="005D66DD">
      <w:rPr>
        <w:color w:val="auto"/>
      </w:rPr>
      <w:t>Skilled Capital Work Experience Placement Guidelines</w:t>
    </w:r>
    <w:r>
      <w:rPr>
        <w:color w:val="auto"/>
      </w:rPr>
      <w:t xml:space="preserve"> v2.</w:t>
    </w:r>
    <w:r w:rsidR="00CF2FEF">
      <w:rPr>
        <w:color w:val="auto"/>
      </w:rPr>
      <w:t>1</w:t>
    </w:r>
    <w:r>
      <w:rPr>
        <w:color w:val="595959"/>
      </w:rPr>
      <w:tab/>
    </w:r>
    <w:r>
      <w:rPr>
        <w:color w:val="595959"/>
      </w:rPr>
      <w:tab/>
    </w:r>
    <w:r w:rsidRPr="005D66DD">
      <w:rPr>
        <w:color w:val="auto"/>
      </w:rPr>
      <w:t xml:space="preserve"> </w:t>
    </w:r>
    <w:r w:rsidR="006A3F19" w:rsidRPr="005D66DD">
      <w:rPr>
        <w:color w:val="auto"/>
      </w:rPr>
      <w:fldChar w:fldCharType="begin"/>
    </w:r>
    <w:r w:rsidRPr="005D66DD">
      <w:rPr>
        <w:color w:val="auto"/>
      </w:rPr>
      <w:instrText xml:space="preserve"> PAGE   \* MERGEFORMAT </w:instrText>
    </w:r>
    <w:r w:rsidR="006A3F19" w:rsidRPr="005D66DD">
      <w:rPr>
        <w:color w:val="auto"/>
      </w:rPr>
      <w:fldChar w:fldCharType="separate"/>
    </w:r>
    <w:r w:rsidR="00347013">
      <w:rPr>
        <w:noProof/>
        <w:color w:val="auto"/>
      </w:rPr>
      <w:t>2</w:t>
    </w:r>
    <w:r w:rsidR="006A3F19" w:rsidRPr="005D66DD">
      <w:rPr>
        <w:color w:val="aut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E8BC6" w14:textId="7CDD6C7A" w:rsidR="00313A11" w:rsidRPr="005D66DD" w:rsidRDefault="00313A11" w:rsidP="00C3789F">
    <w:pPr>
      <w:pStyle w:val="Footer"/>
      <w:pBdr>
        <w:top w:val="single" w:sz="2" w:space="1" w:color="76923C"/>
      </w:pBdr>
      <w:spacing w:line="240" w:lineRule="auto"/>
      <w:rPr>
        <w:color w:val="auto"/>
      </w:rPr>
    </w:pPr>
    <w:r w:rsidRPr="005D66DD">
      <w:rPr>
        <w:color w:val="auto"/>
      </w:rPr>
      <w:t>Skilled Capital Work Experience Placement Guidelines</w:t>
    </w:r>
    <w:r>
      <w:rPr>
        <w:color w:val="auto"/>
      </w:rPr>
      <w:t xml:space="preserve"> v2.</w:t>
    </w:r>
    <w:r w:rsidR="00A33268">
      <w:rPr>
        <w:color w:val="auto"/>
      </w:rPr>
      <w:t>1</w:t>
    </w:r>
    <w:r>
      <w:rPr>
        <w:color w:val="595959"/>
      </w:rPr>
      <w:tab/>
    </w:r>
    <w:r>
      <w:rPr>
        <w:color w:val="595959"/>
      </w:rPr>
      <w:tab/>
    </w:r>
    <w:r w:rsidRPr="005D66DD">
      <w:rPr>
        <w:color w:val="auto"/>
      </w:rPr>
      <w:t xml:space="preserve"> </w:t>
    </w:r>
    <w:r w:rsidR="006A3F19" w:rsidRPr="005D66DD">
      <w:rPr>
        <w:color w:val="auto"/>
      </w:rPr>
      <w:fldChar w:fldCharType="begin"/>
    </w:r>
    <w:r w:rsidRPr="005D66DD">
      <w:rPr>
        <w:color w:val="auto"/>
      </w:rPr>
      <w:instrText xml:space="preserve"> PAGE   \* MERGEFORMAT </w:instrText>
    </w:r>
    <w:r w:rsidR="006A3F19" w:rsidRPr="005D66DD">
      <w:rPr>
        <w:color w:val="auto"/>
      </w:rPr>
      <w:fldChar w:fldCharType="separate"/>
    </w:r>
    <w:r w:rsidR="00347013">
      <w:rPr>
        <w:noProof/>
        <w:color w:val="auto"/>
      </w:rPr>
      <w:t>1</w:t>
    </w:r>
    <w:r w:rsidR="006A3F19" w:rsidRPr="005D66DD">
      <w:rP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C0F5B" w14:textId="77777777" w:rsidR="00313A11" w:rsidRDefault="00313A11" w:rsidP="0015464A">
      <w:pPr>
        <w:spacing w:line="240" w:lineRule="auto"/>
      </w:pPr>
      <w:r>
        <w:separator/>
      </w:r>
    </w:p>
  </w:footnote>
  <w:footnote w:type="continuationSeparator" w:id="0">
    <w:p w14:paraId="51AAD174" w14:textId="77777777" w:rsidR="00313A11" w:rsidRDefault="00313A11" w:rsidP="001546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AB0F4" w14:textId="77777777" w:rsidR="00313A11" w:rsidRDefault="00313A11" w:rsidP="00C3789F">
    <w:pPr>
      <w:pStyle w:val="Header"/>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51D84" w14:textId="77777777" w:rsidR="00313A11" w:rsidRDefault="00313A11" w:rsidP="00C3789F">
    <w:pPr>
      <w:pStyle w:val="Header"/>
      <w:ind w:left="-142"/>
    </w:pPr>
    <w:r>
      <w:rPr>
        <w:noProof/>
        <w:lang w:eastAsia="en-AU"/>
      </w:rPr>
      <w:drawing>
        <wp:inline distT="0" distB="0" distL="0" distR="0" wp14:anchorId="0BA85BDE" wp14:editId="54D90207">
          <wp:extent cx="2000250" cy="762000"/>
          <wp:effectExtent l="19050" t="0" r="0" b="0"/>
          <wp:docPr id="2" name="Picture 1" descr="Chief Minister, Treasury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ef Minister, Treasury and Economic Development"/>
                  <pic:cNvPicPr>
                    <a:picLocks noChangeAspect="1" noChangeArrowheads="1"/>
                  </pic:cNvPicPr>
                </pic:nvPicPr>
                <pic:blipFill>
                  <a:blip r:embed="rId1"/>
                  <a:srcRect/>
                  <a:stretch>
                    <a:fillRect/>
                  </a:stretch>
                </pic:blipFill>
                <pic:spPr bwMode="auto">
                  <a:xfrm>
                    <a:off x="0" y="0"/>
                    <a:ext cx="2000250" cy="76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4D5E"/>
    <w:multiLevelType w:val="hybridMultilevel"/>
    <w:tmpl w:val="C8C24A60"/>
    <w:lvl w:ilvl="0" w:tplc="CF46634C">
      <w:start w:val="1"/>
      <w:numFmt w:val="decimal"/>
      <w:lvlText w:val="%1."/>
      <w:lvlJc w:val="left"/>
      <w:pPr>
        <w:ind w:left="720" w:hanging="360"/>
      </w:pPr>
      <w:rPr>
        <w:rFonts w:ascii="Calibri" w:hAnsi="Calibri" w:hint="default"/>
        <w:b w:val="0"/>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3071C89"/>
    <w:multiLevelType w:val="hybridMultilevel"/>
    <w:tmpl w:val="1D9C2E8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0C1139A"/>
    <w:multiLevelType w:val="hybridMultilevel"/>
    <w:tmpl w:val="ACCED1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6BC1133"/>
    <w:multiLevelType w:val="multilevel"/>
    <w:tmpl w:val="DBF25BAA"/>
    <w:lvl w:ilvl="0">
      <w:start w:val="1"/>
      <w:numFmt w:val="decimal"/>
      <w:lvlText w:val="%1.0"/>
      <w:lvlJc w:val="left"/>
      <w:pPr>
        <w:ind w:left="720" w:hanging="720"/>
      </w:pPr>
      <w:rPr>
        <w:rFonts w:hint="default"/>
      </w:rPr>
    </w:lvl>
    <w:lvl w:ilvl="1">
      <w:start w:val="1"/>
      <w:numFmt w:val="decimal"/>
      <w:pStyle w:val="Heading2"/>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38CD5CE5"/>
    <w:multiLevelType w:val="hybridMultilevel"/>
    <w:tmpl w:val="D97A9910"/>
    <w:lvl w:ilvl="0" w:tplc="847895CA">
      <w:start w:val="1"/>
      <w:numFmt w:val="bullet"/>
      <w:pStyle w:val="ListParagraph"/>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331106"/>
    <w:multiLevelType w:val="hybridMultilevel"/>
    <w:tmpl w:val="888E53D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8EE5D51"/>
    <w:multiLevelType w:val="hybridMultilevel"/>
    <w:tmpl w:val="90885384"/>
    <w:lvl w:ilvl="0" w:tplc="87589C32">
      <w:start w:val="3"/>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9235EF9"/>
    <w:multiLevelType w:val="hybridMultilevel"/>
    <w:tmpl w:val="91C25E2C"/>
    <w:lvl w:ilvl="0" w:tplc="87E6F8F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B473F88"/>
    <w:multiLevelType w:val="hybridMultilevel"/>
    <w:tmpl w:val="0DE0A53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B950DD5"/>
    <w:multiLevelType w:val="hybridMultilevel"/>
    <w:tmpl w:val="F1B663E8"/>
    <w:lvl w:ilvl="0" w:tplc="5600A75A">
      <w:start w:val="1"/>
      <w:numFmt w:val="decimal"/>
      <w:lvlText w:val="%1."/>
      <w:lvlJc w:val="left"/>
      <w:pPr>
        <w:ind w:left="720" w:hanging="360"/>
      </w:pPr>
      <w:rPr>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FB37C36"/>
    <w:multiLevelType w:val="hybridMultilevel"/>
    <w:tmpl w:val="CA3CE3D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A3636B2"/>
    <w:multiLevelType w:val="hybridMultilevel"/>
    <w:tmpl w:val="2196CEB6"/>
    <w:lvl w:ilvl="0" w:tplc="D884FA32">
      <w:start w:val="1"/>
      <w:numFmt w:val="decimal"/>
      <w:lvlText w:val="%1."/>
      <w:lvlJc w:val="left"/>
      <w:pPr>
        <w:ind w:left="720" w:hanging="360"/>
      </w:pPr>
      <w:rPr>
        <w:rFonts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EBF47E9"/>
    <w:multiLevelType w:val="hybridMultilevel"/>
    <w:tmpl w:val="3BC2DC70"/>
    <w:lvl w:ilvl="0" w:tplc="87E6F8F4">
      <w:start w:val="1"/>
      <w:numFmt w:val="decimal"/>
      <w:lvlText w:val="%1)"/>
      <w:lvlJc w:val="left"/>
      <w:pPr>
        <w:ind w:left="720" w:hanging="360"/>
      </w:pPr>
      <w:rPr>
        <w:rFonts w:hint="default"/>
      </w:rPr>
    </w:lvl>
    <w:lvl w:ilvl="1" w:tplc="47447198">
      <w:start w:val="4"/>
      <w:numFmt w:val="bullet"/>
      <w:lvlText w:val="•"/>
      <w:lvlJc w:val="left"/>
      <w:pPr>
        <w:ind w:left="1440" w:hanging="360"/>
      </w:pPr>
      <w:rPr>
        <w:rFonts w:ascii="Calibri" w:eastAsia="Calibri" w:hAnsi="Calibri" w:cs="Calibri"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0"/>
  </w:num>
  <w:num w:numId="3">
    <w:abstractNumId w:val="5"/>
  </w:num>
  <w:num w:numId="4">
    <w:abstractNumId w:val="0"/>
  </w:num>
  <w:num w:numId="5">
    <w:abstractNumId w:val="12"/>
  </w:num>
  <w:num w:numId="6">
    <w:abstractNumId w:val="7"/>
  </w:num>
  <w:num w:numId="7">
    <w:abstractNumId w:val="1"/>
  </w:num>
  <w:num w:numId="8">
    <w:abstractNumId w:val="9"/>
  </w:num>
  <w:num w:numId="9">
    <w:abstractNumId w:val="6"/>
  </w:num>
  <w:num w:numId="10">
    <w:abstractNumId w:val="2"/>
  </w:num>
  <w:num w:numId="11">
    <w:abstractNumId w:val="8"/>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04"/>
    <w:rsid w:val="00045CCE"/>
    <w:rsid w:val="00046912"/>
    <w:rsid w:val="00050509"/>
    <w:rsid w:val="00082C5C"/>
    <w:rsid w:val="000C167E"/>
    <w:rsid w:val="000D125C"/>
    <w:rsid w:val="000F0C2C"/>
    <w:rsid w:val="001157D5"/>
    <w:rsid w:val="00137740"/>
    <w:rsid w:val="0015464A"/>
    <w:rsid w:val="00155CA4"/>
    <w:rsid w:val="001A2236"/>
    <w:rsid w:val="001F08C5"/>
    <w:rsid w:val="002419D4"/>
    <w:rsid w:val="002700CD"/>
    <w:rsid w:val="002C067D"/>
    <w:rsid w:val="002C7E04"/>
    <w:rsid w:val="002F1304"/>
    <w:rsid w:val="0031031B"/>
    <w:rsid w:val="00313A11"/>
    <w:rsid w:val="0031553C"/>
    <w:rsid w:val="0032442B"/>
    <w:rsid w:val="00326E27"/>
    <w:rsid w:val="0033505D"/>
    <w:rsid w:val="00347013"/>
    <w:rsid w:val="003A768C"/>
    <w:rsid w:val="0040074C"/>
    <w:rsid w:val="00414CA9"/>
    <w:rsid w:val="0042243C"/>
    <w:rsid w:val="00451B63"/>
    <w:rsid w:val="004607FD"/>
    <w:rsid w:val="0046348C"/>
    <w:rsid w:val="004756D2"/>
    <w:rsid w:val="00483060"/>
    <w:rsid w:val="004B2B5D"/>
    <w:rsid w:val="004E14B7"/>
    <w:rsid w:val="00504A60"/>
    <w:rsid w:val="005115F4"/>
    <w:rsid w:val="00512C73"/>
    <w:rsid w:val="0051447A"/>
    <w:rsid w:val="00527E7B"/>
    <w:rsid w:val="00532704"/>
    <w:rsid w:val="00535D26"/>
    <w:rsid w:val="0057679E"/>
    <w:rsid w:val="005D150D"/>
    <w:rsid w:val="005D66DD"/>
    <w:rsid w:val="005E405B"/>
    <w:rsid w:val="005F52C3"/>
    <w:rsid w:val="006121C4"/>
    <w:rsid w:val="006364B9"/>
    <w:rsid w:val="00642504"/>
    <w:rsid w:val="006629C7"/>
    <w:rsid w:val="00670232"/>
    <w:rsid w:val="00673B54"/>
    <w:rsid w:val="0069707C"/>
    <w:rsid w:val="006A11EB"/>
    <w:rsid w:val="006A3F19"/>
    <w:rsid w:val="006D5115"/>
    <w:rsid w:val="006D6F36"/>
    <w:rsid w:val="0075072C"/>
    <w:rsid w:val="00766F3A"/>
    <w:rsid w:val="0077153E"/>
    <w:rsid w:val="00791C5E"/>
    <w:rsid w:val="00791F0F"/>
    <w:rsid w:val="007C1DB8"/>
    <w:rsid w:val="007C3E48"/>
    <w:rsid w:val="007D422C"/>
    <w:rsid w:val="007E02AC"/>
    <w:rsid w:val="007F2F00"/>
    <w:rsid w:val="008179B9"/>
    <w:rsid w:val="008278AD"/>
    <w:rsid w:val="0084515B"/>
    <w:rsid w:val="00866637"/>
    <w:rsid w:val="00876AA8"/>
    <w:rsid w:val="008C3A39"/>
    <w:rsid w:val="009071BF"/>
    <w:rsid w:val="00925366"/>
    <w:rsid w:val="00973A88"/>
    <w:rsid w:val="00985018"/>
    <w:rsid w:val="009A7DE6"/>
    <w:rsid w:val="009B2B8B"/>
    <w:rsid w:val="009C6183"/>
    <w:rsid w:val="00A221BB"/>
    <w:rsid w:val="00A33268"/>
    <w:rsid w:val="00A4037D"/>
    <w:rsid w:val="00A4321B"/>
    <w:rsid w:val="00A65685"/>
    <w:rsid w:val="00A72804"/>
    <w:rsid w:val="00A76E02"/>
    <w:rsid w:val="00A8384A"/>
    <w:rsid w:val="00AF3801"/>
    <w:rsid w:val="00B4164E"/>
    <w:rsid w:val="00B47A79"/>
    <w:rsid w:val="00B62701"/>
    <w:rsid w:val="00B71191"/>
    <w:rsid w:val="00B72360"/>
    <w:rsid w:val="00B860CB"/>
    <w:rsid w:val="00BD62AE"/>
    <w:rsid w:val="00BE0B24"/>
    <w:rsid w:val="00BF766A"/>
    <w:rsid w:val="00C019D6"/>
    <w:rsid w:val="00C06017"/>
    <w:rsid w:val="00C23354"/>
    <w:rsid w:val="00C35B32"/>
    <w:rsid w:val="00C3789F"/>
    <w:rsid w:val="00C42945"/>
    <w:rsid w:val="00C80E2D"/>
    <w:rsid w:val="00C86A09"/>
    <w:rsid w:val="00CA61E5"/>
    <w:rsid w:val="00CC1107"/>
    <w:rsid w:val="00CC1839"/>
    <w:rsid w:val="00CD11C6"/>
    <w:rsid w:val="00CD2EE3"/>
    <w:rsid w:val="00CE3244"/>
    <w:rsid w:val="00CF2FEF"/>
    <w:rsid w:val="00D36B74"/>
    <w:rsid w:val="00D75366"/>
    <w:rsid w:val="00D93B84"/>
    <w:rsid w:val="00D973DD"/>
    <w:rsid w:val="00DC5357"/>
    <w:rsid w:val="00DF1CFD"/>
    <w:rsid w:val="00DF57E1"/>
    <w:rsid w:val="00E94F30"/>
    <w:rsid w:val="00E9583D"/>
    <w:rsid w:val="00E9664D"/>
    <w:rsid w:val="00EB6519"/>
    <w:rsid w:val="00EF43E6"/>
    <w:rsid w:val="00F476D5"/>
    <w:rsid w:val="00F52066"/>
    <w:rsid w:val="00F946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A9A46F"/>
  <w15:docId w15:val="{7211543B-FFCB-48A0-AE01-7F1542BC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637"/>
    <w:pPr>
      <w:spacing w:line="276" w:lineRule="auto"/>
    </w:pPr>
    <w:rPr>
      <w:rFonts w:ascii="Calibri Light" w:hAnsi="Calibri Light"/>
      <w:color w:val="262626"/>
      <w:sz w:val="22"/>
      <w:szCs w:val="22"/>
      <w:lang w:eastAsia="en-US"/>
    </w:rPr>
  </w:style>
  <w:style w:type="paragraph" w:styleId="Heading1">
    <w:name w:val="heading 1"/>
    <w:basedOn w:val="Normal"/>
    <w:next w:val="Normal"/>
    <w:link w:val="Heading1Char"/>
    <w:uiPriority w:val="9"/>
    <w:qFormat/>
    <w:rsid w:val="00866637"/>
    <w:pPr>
      <w:spacing w:before="120" w:line="240" w:lineRule="auto"/>
      <w:outlineLvl w:val="0"/>
    </w:pPr>
    <w:rPr>
      <w:b/>
      <w:color w:val="76923C"/>
      <w:sz w:val="28"/>
    </w:rPr>
  </w:style>
  <w:style w:type="paragraph" w:styleId="Heading2">
    <w:name w:val="heading 2"/>
    <w:basedOn w:val="Heading1"/>
    <w:next w:val="Normal"/>
    <w:link w:val="Heading2Char"/>
    <w:uiPriority w:val="9"/>
    <w:unhideWhenUsed/>
    <w:qFormat/>
    <w:rsid w:val="00B72360"/>
    <w:pPr>
      <w:numPr>
        <w:ilvl w:val="1"/>
        <w:numId w:val="1"/>
      </w:numPr>
      <w:spacing w:before="240"/>
      <w:ind w:left="720"/>
      <w:outlineLvl w:val="1"/>
    </w:pPr>
    <w:rPr>
      <w:color w:val="425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637"/>
    <w:rPr>
      <w:rFonts w:ascii="Calibri Light" w:hAnsi="Calibri Light"/>
      <w:b/>
      <w:color w:val="76923C"/>
      <w:sz w:val="28"/>
      <w:szCs w:val="22"/>
      <w:lang w:eastAsia="en-US"/>
    </w:rPr>
  </w:style>
  <w:style w:type="character" w:customStyle="1" w:styleId="Heading2Char">
    <w:name w:val="Heading 2 Char"/>
    <w:basedOn w:val="DefaultParagraphFont"/>
    <w:link w:val="Heading2"/>
    <w:uiPriority w:val="9"/>
    <w:rsid w:val="00B72360"/>
    <w:rPr>
      <w:rFonts w:ascii="Calibri" w:eastAsia="Times New Roman" w:hAnsi="Calibri" w:cs="Times New Roman"/>
      <w:bCs/>
      <w:color w:val="425222"/>
      <w:spacing w:val="20"/>
      <w:sz w:val="28"/>
      <w:szCs w:val="28"/>
    </w:rPr>
  </w:style>
  <w:style w:type="paragraph" w:customStyle="1" w:styleId="Default">
    <w:name w:val="Default"/>
    <w:rsid w:val="0077153E"/>
    <w:pPr>
      <w:autoSpaceDE w:val="0"/>
      <w:autoSpaceDN w:val="0"/>
      <w:adjustRightInd w:val="0"/>
    </w:pPr>
    <w:rPr>
      <w:rFonts w:ascii="Arial Narrow" w:hAnsi="Arial Narrow" w:cs="Arial Narrow"/>
      <w:color w:val="000000"/>
      <w:sz w:val="24"/>
      <w:szCs w:val="24"/>
      <w:lang w:eastAsia="en-US"/>
    </w:rPr>
  </w:style>
  <w:style w:type="paragraph" w:styleId="NoSpacing">
    <w:name w:val="No Spacing"/>
    <w:uiPriority w:val="1"/>
    <w:qFormat/>
    <w:rsid w:val="003A768C"/>
    <w:rPr>
      <w:sz w:val="22"/>
      <w:szCs w:val="22"/>
      <w:lang w:eastAsia="en-US"/>
    </w:rPr>
  </w:style>
  <w:style w:type="character" w:styleId="Emphasis">
    <w:name w:val="Emphasis"/>
    <w:basedOn w:val="DefaultParagraphFont"/>
    <w:uiPriority w:val="20"/>
    <w:qFormat/>
    <w:rsid w:val="00E9664D"/>
    <w:rPr>
      <w:i/>
      <w:iCs/>
    </w:rPr>
  </w:style>
  <w:style w:type="character" w:styleId="Hyperlink">
    <w:name w:val="Hyperlink"/>
    <w:basedOn w:val="DefaultParagraphFont"/>
    <w:uiPriority w:val="99"/>
    <w:unhideWhenUsed/>
    <w:rsid w:val="00D973DD"/>
    <w:rPr>
      <w:color w:val="0000FF"/>
      <w:u w:val="single"/>
    </w:rPr>
  </w:style>
  <w:style w:type="paragraph" w:styleId="Header">
    <w:name w:val="header"/>
    <w:basedOn w:val="Normal"/>
    <w:link w:val="HeaderChar"/>
    <w:uiPriority w:val="99"/>
    <w:unhideWhenUsed/>
    <w:rsid w:val="0015464A"/>
    <w:pPr>
      <w:tabs>
        <w:tab w:val="center" w:pos="4513"/>
        <w:tab w:val="right" w:pos="9026"/>
      </w:tabs>
    </w:pPr>
  </w:style>
  <w:style w:type="character" w:customStyle="1" w:styleId="HeaderChar">
    <w:name w:val="Header Char"/>
    <w:basedOn w:val="DefaultParagraphFont"/>
    <w:link w:val="Header"/>
    <w:uiPriority w:val="99"/>
    <w:rsid w:val="0015464A"/>
    <w:rPr>
      <w:sz w:val="22"/>
      <w:szCs w:val="22"/>
      <w:lang w:eastAsia="en-US"/>
    </w:rPr>
  </w:style>
  <w:style w:type="paragraph" w:styleId="Footer">
    <w:name w:val="footer"/>
    <w:basedOn w:val="Normal"/>
    <w:link w:val="FooterChar"/>
    <w:uiPriority w:val="99"/>
    <w:unhideWhenUsed/>
    <w:rsid w:val="0015464A"/>
    <w:pPr>
      <w:tabs>
        <w:tab w:val="center" w:pos="4513"/>
        <w:tab w:val="right" w:pos="9026"/>
      </w:tabs>
    </w:pPr>
  </w:style>
  <w:style w:type="character" w:customStyle="1" w:styleId="FooterChar">
    <w:name w:val="Footer Char"/>
    <w:basedOn w:val="DefaultParagraphFont"/>
    <w:link w:val="Footer"/>
    <w:uiPriority w:val="99"/>
    <w:rsid w:val="0015464A"/>
    <w:rPr>
      <w:sz w:val="22"/>
      <w:szCs w:val="22"/>
      <w:lang w:eastAsia="en-US"/>
    </w:rPr>
  </w:style>
  <w:style w:type="paragraph" w:styleId="BalloonText">
    <w:name w:val="Balloon Text"/>
    <w:basedOn w:val="Normal"/>
    <w:link w:val="BalloonTextChar"/>
    <w:uiPriority w:val="99"/>
    <w:semiHidden/>
    <w:unhideWhenUsed/>
    <w:rsid w:val="005D150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50D"/>
    <w:rPr>
      <w:rFonts w:ascii="Tahoma" w:hAnsi="Tahoma" w:cs="Tahoma"/>
      <w:sz w:val="16"/>
      <w:szCs w:val="16"/>
      <w:lang w:eastAsia="en-US"/>
    </w:rPr>
  </w:style>
  <w:style w:type="character" w:styleId="FollowedHyperlink">
    <w:name w:val="FollowedHyperlink"/>
    <w:basedOn w:val="DefaultParagraphFont"/>
    <w:uiPriority w:val="99"/>
    <w:semiHidden/>
    <w:unhideWhenUsed/>
    <w:rsid w:val="004607FD"/>
    <w:rPr>
      <w:color w:val="800080"/>
      <w:u w:val="single"/>
    </w:rPr>
  </w:style>
  <w:style w:type="paragraph" w:styleId="PlainText">
    <w:name w:val="Plain Text"/>
    <w:basedOn w:val="Normal"/>
    <w:link w:val="PlainTextChar"/>
    <w:uiPriority w:val="99"/>
    <w:unhideWhenUsed/>
    <w:rsid w:val="00512C73"/>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512C73"/>
    <w:rPr>
      <w:rFonts w:ascii="Consolas" w:eastAsia="Calibri" w:hAnsi="Consolas" w:cs="Times New Roman"/>
      <w:sz w:val="21"/>
      <w:szCs w:val="21"/>
      <w:lang w:eastAsia="en-US"/>
    </w:rPr>
  </w:style>
  <w:style w:type="character" w:styleId="CommentReference">
    <w:name w:val="annotation reference"/>
    <w:basedOn w:val="DefaultParagraphFont"/>
    <w:uiPriority w:val="99"/>
    <w:semiHidden/>
    <w:unhideWhenUsed/>
    <w:rsid w:val="00CC1107"/>
    <w:rPr>
      <w:sz w:val="16"/>
      <w:szCs w:val="16"/>
    </w:rPr>
  </w:style>
  <w:style w:type="paragraph" w:styleId="CommentText">
    <w:name w:val="annotation text"/>
    <w:basedOn w:val="Normal"/>
    <w:link w:val="CommentTextChar"/>
    <w:uiPriority w:val="99"/>
    <w:semiHidden/>
    <w:unhideWhenUsed/>
    <w:rsid w:val="00CC1107"/>
    <w:rPr>
      <w:sz w:val="20"/>
      <w:szCs w:val="20"/>
    </w:rPr>
  </w:style>
  <w:style w:type="character" w:customStyle="1" w:styleId="CommentTextChar">
    <w:name w:val="Comment Text Char"/>
    <w:basedOn w:val="DefaultParagraphFont"/>
    <w:link w:val="CommentText"/>
    <w:uiPriority w:val="99"/>
    <w:semiHidden/>
    <w:rsid w:val="00CC1107"/>
    <w:rPr>
      <w:lang w:eastAsia="en-US"/>
    </w:rPr>
  </w:style>
  <w:style w:type="paragraph" w:styleId="CommentSubject">
    <w:name w:val="annotation subject"/>
    <w:basedOn w:val="CommentText"/>
    <w:next w:val="CommentText"/>
    <w:link w:val="CommentSubjectChar"/>
    <w:uiPriority w:val="99"/>
    <w:semiHidden/>
    <w:unhideWhenUsed/>
    <w:rsid w:val="00CC1107"/>
    <w:rPr>
      <w:b/>
      <w:bCs/>
    </w:rPr>
  </w:style>
  <w:style w:type="character" w:customStyle="1" w:styleId="CommentSubjectChar">
    <w:name w:val="Comment Subject Char"/>
    <w:basedOn w:val="CommentTextChar"/>
    <w:link w:val="CommentSubject"/>
    <w:uiPriority w:val="99"/>
    <w:semiHidden/>
    <w:rsid w:val="00CC1107"/>
    <w:rPr>
      <w:b/>
      <w:bCs/>
      <w:lang w:eastAsia="en-US"/>
    </w:rPr>
  </w:style>
  <w:style w:type="paragraph" w:styleId="ListParagraph">
    <w:name w:val="List Paragraph"/>
    <w:basedOn w:val="Normal"/>
    <w:uiPriority w:val="34"/>
    <w:qFormat/>
    <w:rsid w:val="008179B9"/>
    <w:pPr>
      <w:numPr>
        <w:numId w:val="12"/>
      </w:numPr>
      <w:spacing w:after="80"/>
    </w:pPr>
  </w:style>
  <w:style w:type="paragraph" w:styleId="Revision">
    <w:name w:val="Revision"/>
    <w:hidden/>
    <w:uiPriority w:val="99"/>
    <w:semiHidden/>
    <w:rsid w:val="0032442B"/>
    <w:rPr>
      <w:rFonts w:ascii="Calibri Light" w:hAnsi="Calibri Light"/>
      <w:color w:val="262626"/>
      <w:sz w:val="22"/>
      <w:szCs w:val="22"/>
      <w:lang w:eastAsia="en-US"/>
    </w:rPr>
  </w:style>
  <w:style w:type="character" w:customStyle="1" w:styleId="UnresolvedMention">
    <w:name w:val="Unresolved Mention"/>
    <w:basedOn w:val="DefaultParagraphFont"/>
    <w:uiPriority w:val="99"/>
    <w:semiHidden/>
    <w:unhideWhenUsed/>
    <w:rsid w:val="00A332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953671">
      <w:bodyDiv w:val="1"/>
      <w:marLeft w:val="0"/>
      <w:marRight w:val="0"/>
      <w:marTop w:val="0"/>
      <w:marBottom w:val="0"/>
      <w:divBdr>
        <w:top w:val="none" w:sz="0" w:space="0" w:color="auto"/>
        <w:left w:val="none" w:sz="0" w:space="0" w:color="auto"/>
        <w:bottom w:val="none" w:sz="0" w:space="0" w:color="auto"/>
        <w:right w:val="none" w:sz="0" w:space="0" w:color="auto"/>
      </w:divBdr>
    </w:div>
    <w:div w:id="1871457486">
      <w:bodyDiv w:val="1"/>
      <w:marLeft w:val="0"/>
      <w:marRight w:val="0"/>
      <w:marTop w:val="0"/>
      <w:marBottom w:val="0"/>
      <w:divBdr>
        <w:top w:val="none" w:sz="0" w:space="0" w:color="auto"/>
        <w:left w:val="none" w:sz="0" w:space="0" w:color="auto"/>
        <w:bottom w:val="none" w:sz="0" w:space="0" w:color="auto"/>
        <w:right w:val="none" w:sz="0" w:space="0" w:color="auto"/>
      </w:divBdr>
    </w:div>
    <w:div w:id="213786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sh.com/au/contact-u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kills.act.gov.au/publications-and-forms"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sh.com/au/services/claims.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skills.act.gov.au/publications-and-forms" TargetMode="External"/><Relationship Id="rId4" Type="http://schemas.openxmlformats.org/officeDocument/2006/relationships/webSettings" Target="webSettings.xml"/><Relationship Id="rId9" Type="http://schemas.openxmlformats.org/officeDocument/2006/relationships/hyperlink" Target="mailto:skills@act.gov.au"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5195</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6094</CharactersWithSpaces>
  <SharedDoc>false</SharedDoc>
  <HLinks>
    <vt:vector size="18" baseType="variant">
      <vt:variant>
        <vt:i4>2162812</vt:i4>
      </vt:variant>
      <vt:variant>
        <vt:i4>6</vt:i4>
      </vt:variant>
      <vt:variant>
        <vt:i4>0</vt:i4>
      </vt:variant>
      <vt:variant>
        <vt:i4>5</vt:i4>
      </vt:variant>
      <vt:variant>
        <vt:lpwstr>http://australia.marsh.com/ContactUs/LiveTabId/131085.aspx</vt:lpwstr>
      </vt:variant>
      <vt:variant>
        <vt:lpwstr/>
      </vt:variant>
      <vt:variant>
        <vt:i4>4980797</vt:i4>
      </vt:variant>
      <vt:variant>
        <vt:i4>3</vt:i4>
      </vt:variant>
      <vt:variant>
        <vt:i4>0</vt:i4>
      </vt:variant>
      <vt:variant>
        <vt:i4>5</vt:i4>
      </vt:variant>
      <vt:variant>
        <vt:lpwstr>mailto:tateconsultation@act.gov.au</vt:lpwstr>
      </vt:variant>
      <vt:variant>
        <vt:lpwstr/>
      </vt:variant>
      <vt:variant>
        <vt:i4>2162812</vt:i4>
      </vt:variant>
      <vt:variant>
        <vt:i4>0</vt:i4>
      </vt:variant>
      <vt:variant>
        <vt:i4>0</vt:i4>
      </vt:variant>
      <vt:variant>
        <vt:i4>5</vt:i4>
      </vt:variant>
      <vt:variant>
        <vt:lpwstr>http://australia.marsh.com/ContactUs/LiveTabId/131085.aspx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catharine malone</dc:creator>
  <cp:lastModifiedBy>Marshall, Brian</cp:lastModifiedBy>
  <cp:revision>2</cp:revision>
  <cp:lastPrinted>2014-10-31T04:22:00Z</cp:lastPrinted>
  <dcterms:created xsi:type="dcterms:W3CDTF">2020-01-28T22:41:00Z</dcterms:created>
  <dcterms:modified xsi:type="dcterms:W3CDTF">2020-01-28T22:41:00Z</dcterms:modified>
</cp:coreProperties>
</file>