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87A6A" w14:textId="77777777" w:rsidR="000A2FFC" w:rsidRDefault="0089332C">
      <w:r>
        <w:rPr>
          <w:noProof/>
        </w:rPr>
        <w:drawing>
          <wp:anchor distT="0" distB="0" distL="114300" distR="114300" simplePos="0" relativeHeight="251665408" behindDoc="0" locked="0" layoutInCell="1" allowOverlap="1" wp14:anchorId="12645891" wp14:editId="2EA65DFC">
            <wp:simplePos x="0" y="0"/>
            <wp:positionH relativeFrom="margin">
              <wp:posOffset>0</wp:posOffset>
            </wp:positionH>
            <wp:positionV relativeFrom="page">
              <wp:posOffset>1440180</wp:posOffset>
            </wp:positionV>
            <wp:extent cx="1413510" cy="723265"/>
            <wp:effectExtent l="19050" t="0" r="0" b="0"/>
            <wp:wrapSquare wrapText="bothSides"/>
            <wp:docPr id="7" name="Picture 4" descr="ACTGov_inline_black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CTGov_inline_black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9332C">
        <w:rPr>
          <w:noProof/>
        </w:rPr>
        <w:drawing>
          <wp:anchor distT="0" distB="0" distL="114300" distR="114300" simplePos="0" relativeHeight="251683840" behindDoc="1" locked="0" layoutInCell="1" allowOverlap="1" wp14:anchorId="3F7065F0" wp14:editId="56037669">
            <wp:simplePos x="0" y="0"/>
            <wp:positionH relativeFrom="page">
              <wp:posOffset>-21893</wp:posOffset>
            </wp:positionH>
            <wp:positionV relativeFrom="page">
              <wp:posOffset>-40944</wp:posOffset>
            </wp:positionV>
            <wp:extent cx="7623696" cy="10795380"/>
            <wp:effectExtent l="19050" t="0" r="0" b="0"/>
            <wp:wrapNone/>
            <wp:docPr id="4" name="Picture 1" descr="Arts ACT-cover 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s ACT-cover backgrou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623696" cy="1079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dt>
      <w:sdtPr>
        <w:id w:val="440470352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7AD10D2" w14:textId="77777777" w:rsidR="00F875BD" w:rsidRDefault="00F875BD"/>
        <w:p w14:paraId="356B19BD" w14:textId="77777777" w:rsidR="00F875BD" w:rsidRDefault="00600625" w:rsidP="006676AA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5DE28C42" wp14:editId="572BB251">
                    <wp:simplePos x="0" y="0"/>
                    <wp:positionH relativeFrom="margin">
                      <wp:posOffset>-207010</wp:posOffset>
                    </wp:positionH>
                    <wp:positionV relativeFrom="page">
                      <wp:posOffset>8999220</wp:posOffset>
                    </wp:positionV>
                    <wp:extent cx="2621280" cy="916940"/>
                    <wp:effectExtent l="0" t="0" r="0" b="3810"/>
                    <wp:wrapNone/>
                    <wp:docPr id="15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21280" cy="9169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404A26" w14:textId="77777777" w:rsidR="008F0D7F" w:rsidRPr="00600625" w:rsidRDefault="008F0D7F" w:rsidP="0089332C">
                                <w:pPr>
                                  <w:pStyle w:val="Intro"/>
                                  <w:rPr>
                                    <w:b/>
                                    <w:caps/>
                                    <w:color w:val="FFFFFF"/>
                                  </w:rPr>
                                </w:pPr>
                                <w:r w:rsidRPr="00600625">
                                  <w:rPr>
                                    <w:b/>
                                    <w:color w:val="FFFFFF"/>
                                  </w:rPr>
                                  <w:t>Skills Canberra</w:t>
                                </w:r>
                              </w:p>
                              <w:p w14:paraId="06698BD8" w14:textId="1DE43A73" w:rsidR="008F0D7F" w:rsidRPr="00600625" w:rsidRDefault="008F0D7F" w:rsidP="0089332C">
                                <w:pPr>
                                  <w:pStyle w:val="Intro"/>
                                  <w:rPr>
                                    <w:b/>
                                    <w:caps/>
                                    <w:color w:val="FFFFFF"/>
                                  </w:rPr>
                                </w:pPr>
                                <w:r w:rsidRPr="00600625">
                                  <w:rPr>
                                    <w:b/>
                                    <w:caps/>
                                    <w:color w:val="FFFFFF"/>
                                  </w:rPr>
                                  <w:t>C</w:t>
                                </w:r>
                                <w:r w:rsidRPr="00600625">
                                  <w:rPr>
                                    <w:b/>
                                    <w:color w:val="FFFFFF"/>
                                  </w:rPr>
                                  <w:t xml:space="preserve">hief Minister, Treasury </w:t>
                                </w:r>
                                <w:r w:rsidR="006B489C">
                                  <w:rPr>
                                    <w:b/>
                                    <w:color w:val="FFFFFF"/>
                                  </w:rPr>
                                  <w:t>a</w:t>
                                </w:r>
                                <w:r w:rsidRPr="00600625">
                                  <w:rPr>
                                    <w:b/>
                                    <w:color w:val="FFFFFF"/>
                                  </w:rPr>
                                  <w:t>nd Economic Development Directorate</w:t>
                                </w:r>
                              </w:p>
                              <w:p w14:paraId="1A26907F" w14:textId="095447A5" w:rsidR="008F0D7F" w:rsidRPr="00600625" w:rsidRDefault="00FA7E9D" w:rsidP="0089332C">
                                <w:pPr>
                                  <w:pStyle w:val="Intro"/>
                                  <w:rPr>
                                    <w:b/>
                                    <w:caps/>
                                    <w:color w:val="FFFFFF"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  <w:color w:val="FFFFFF"/>
                                  </w:rPr>
                                  <w:t>September</w:t>
                                </w:r>
                                <w:r w:rsidR="004840D8" w:rsidRPr="00600625">
                                  <w:rPr>
                                    <w:b/>
                                    <w:caps/>
                                    <w:color w:val="FFFFFF"/>
                                  </w:rPr>
                                  <w:t xml:space="preserve"> 201</w:t>
                                </w:r>
                                <w:r w:rsidR="004840D8">
                                  <w:rPr>
                                    <w:b/>
                                    <w:caps/>
                                    <w:color w:val="FFFFFF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5DE28C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margin-left:-16.3pt;margin-top:708.6pt;width:206.4pt;height:7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" filled="f" stroked="f">
                    <v:textbox style="mso-fit-shape-to-text:t">
                      <w:txbxContent>
                        <w:p w14:paraId="5D404A26" w14:textId="77777777" w:rsidR="008F0D7F" w:rsidRPr="00600625" w:rsidRDefault="008F0D7F" w:rsidP="0089332C">
                          <w:pPr>
                            <w:pStyle w:val="Intro"/>
                            <w:rPr>
                              <w:b/>
                              <w:caps/>
                              <w:color w:val="FFFFFF"/>
                            </w:rPr>
                          </w:pPr>
                          <w:r w:rsidRPr="00600625">
                            <w:rPr>
                              <w:b/>
                              <w:color w:val="FFFFFF"/>
                            </w:rPr>
                            <w:t>Skills Canberra</w:t>
                          </w:r>
                        </w:p>
                        <w:p w14:paraId="06698BD8" w14:textId="1DE43A73" w:rsidR="008F0D7F" w:rsidRPr="00600625" w:rsidRDefault="008F0D7F" w:rsidP="0089332C">
                          <w:pPr>
                            <w:pStyle w:val="Intro"/>
                            <w:rPr>
                              <w:b/>
                              <w:caps/>
                              <w:color w:val="FFFFFF"/>
                            </w:rPr>
                          </w:pPr>
                          <w:r w:rsidRPr="00600625">
                            <w:rPr>
                              <w:b/>
                              <w:caps/>
                              <w:color w:val="FFFFFF"/>
                            </w:rPr>
                            <w:t>C</w:t>
                          </w:r>
                          <w:r w:rsidRPr="00600625">
                            <w:rPr>
                              <w:b/>
                              <w:color w:val="FFFFFF"/>
                            </w:rPr>
                            <w:t xml:space="preserve">hief Minister, Treasury </w:t>
                          </w:r>
                          <w:r w:rsidR="006B489C">
                            <w:rPr>
                              <w:b/>
                              <w:color w:val="FFFFFF"/>
                            </w:rPr>
                            <w:t>a</w:t>
                          </w:r>
                          <w:r w:rsidRPr="00600625">
                            <w:rPr>
                              <w:b/>
                              <w:color w:val="FFFFFF"/>
                            </w:rPr>
                            <w:t>nd Economic Development Directorate</w:t>
                          </w:r>
                        </w:p>
                        <w:p w14:paraId="1A26907F" w14:textId="095447A5" w:rsidR="008F0D7F" w:rsidRPr="00600625" w:rsidRDefault="00FA7E9D" w:rsidP="0089332C">
                          <w:pPr>
                            <w:pStyle w:val="Intro"/>
                            <w:rPr>
                              <w:b/>
                              <w:caps/>
                              <w:color w:val="FFFFFF"/>
                            </w:rPr>
                          </w:pPr>
                          <w:r>
                            <w:rPr>
                              <w:b/>
                              <w:caps/>
                              <w:color w:val="FFFFFF"/>
                            </w:rPr>
                            <w:t>September</w:t>
                          </w:r>
                          <w:r w:rsidR="004840D8" w:rsidRPr="00600625">
                            <w:rPr>
                              <w:b/>
                              <w:caps/>
                              <w:color w:val="FFFFFF"/>
                            </w:rPr>
                            <w:t xml:space="preserve"> 201</w:t>
                          </w:r>
                          <w:r w:rsidR="004840D8">
                            <w:rPr>
                              <w:b/>
                              <w:caps/>
                              <w:color w:val="FFFFFF"/>
                            </w:rPr>
                            <w:t>9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D7299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4264AE4F" wp14:editId="2B7FE138">
                    <wp:simplePos x="0" y="0"/>
                    <wp:positionH relativeFrom="margin">
                      <wp:posOffset>-214630</wp:posOffset>
                    </wp:positionH>
                    <wp:positionV relativeFrom="page">
                      <wp:posOffset>4320540</wp:posOffset>
                    </wp:positionV>
                    <wp:extent cx="4053840" cy="2689225"/>
                    <wp:effectExtent l="0" t="0" r="0" b="0"/>
                    <wp:wrapNone/>
                    <wp:docPr id="16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53840" cy="2689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06898A" w14:textId="77777777" w:rsidR="008F0D7F" w:rsidRPr="00600625" w:rsidRDefault="008F0D7F" w:rsidP="0089332C">
                                <w:pPr>
                                  <w:pStyle w:val="Title"/>
                                  <w:rPr>
                                    <w:b/>
                                    <w:color w:val="FFFFFF"/>
                                  </w:rPr>
                                </w:pPr>
                                <w:r w:rsidRPr="00600625">
                                  <w:rPr>
                                    <w:b/>
                                    <w:color w:val="FFFFFF"/>
                                  </w:rPr>
                                  <w:t>ACT group training organisations</w:t>
                                </w:r>
                              </w:p>
                              <w:p w14:paraId="35D73F1C" w14:textId="77777777" w:rsidR="008F0D7F" w:rsidRPr="00600625" w:rsidRDefault="008F0D7F" w:rsidP="0089332C">
                                <w:pPr>
                                  <w:pStyle w:val="Subtitle"/>
                                  <w:rPr>
                                    <w:b/>
                                    <w:color w:val="FFFFFF"/>
                                  </w:rPr>
                                </w:pPr>
                                <w:r w:rsidRPr="00600625">
                                  <w:rPr>
                                    <w:b/>
                                    <w:color w:val="FFFFFF"/>
                                  </w:rPr>
                                  <w:t>registration guide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shape w14:anchorId="4264AE4F" id="Text Box 9" o:spid="_x0000_s1027" type="#_x0000_t202" style="position:absolute;margin-left:-16.9pt;margin-top:340.2pt;width:319.2pt;height:2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5Zz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" filled="f" stroked="f">
                    <v:textbox>
                      <w:txbxContent>
                        <w:p w14:paraId="2006898A" w14:textId="77777777" w:rsidR="008F0D7F" w:rsidRPr="00600625" w:rsidRDefault="008F0D7F" w:rsidP="0089332C">
                          <w:pPr>
                            <w:pStyle w:val="Title"/>
                            <w:rPr>
                              <w:b/>
                              <w:color w:val="FFFFFF"/>
                            </w:rPr>
                          </w:pPr>
                          <w:r w:rsidRPr="00600625">
                            <w:rPr>
                              <w:b/>
                              <w:color w:val="FFFFFF"/>
                            </w:rPr>
                            <w:t>ACT group training organisations</w:t>
                          </w:r>
                        </w:p>
                        <w:p w14:paraId="35D73F1C" w14:textId="77777777" w:rsidR="008F0D7F" w:rsidRPr="00600625" w:rsidRDefault="008F0D7F" w:rsidP="0089332C">
                          <w:pPr>
                            <w:pStyle w:val="Subtitle"/>
                            <w:rPr>
                              <w:b/>
                              <w:color w:val="FFFFFF"/>
                            </w:rPr>
                          </w:pPr>
                          <w:r w:rsidRPr="00600625">
                            <w:rPr>
                              <w:b/>
                              <w:color w:val="FFFFFF"/>
                            </w:rPr>
                            <w:t>registration guide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F875BD">
            <w:rPr>
              <w:noProof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14:paraId="68C72C24" w14:textId="77777777" w:rsidR="00600625" w:rsidRDefault="00600625" w:rsidP="003A6FBE"/>
    <w:p w14:paraId="3BF56208" w14:textId="77777777" w:rsidR="00600625" w:rsidRDefault="00600625" w:rsidP="003A6FBE"/>
    <w:p w14:paraId="4FBE9789" w14:textId="77777777" w:rsidR="00600625" w:rsidRDefault="00600625" w:rsidP="003A6FBE"/>
    <w:p w14:paraId="5DC8394F" w14:textId="77777777" w:rsidR="00600625" w:rsidRDefault="00600625" w:rsidP="003A6FBE"/>
    <w:p w14:paraId="654B8408" w14:textId="77777777" w:rsidR="00600625" w:rsidRDefault="00600625" w:rsidP="003A6FBE"/>
    <w:p w14:paraId="1D151C2C" w14:textId="77777777" w:rsidR="00600625" w:rsidRDefault="00600625" w:rsidP="003A6FBE"/>
    <w:p w14:paraId="4DE681BA" w14:textId="77777777" w:rsidR="00600625" w:rsidRDefault="00600625" w:rsidP="003A6FBE"/>
    <w:p w14:paraId="1F0B89D3" w14:textId="77777777" w:rsidR="00600625" w:rsidRDefault="00600625" w:rsidP="003A6FBE"/>
    <w:p w14:paraId="18B3218C" w14:textId="77777777" w:rsidR="00600625" w:rsidRDefault="00600625" w:rsidP="003A6FBE"/>
    <w:p w14:paraId="2B1AACAF" w14:textId="77777777" w:rsidR="00600625" w:rsidRDefault="00600625" w:rsidP="003A6FBE"/>
    <w:p w14:paraId="395F9196" w14:textId="77777777" w:rsidR="00600625" w:rsidRDefault="00600625" w:rsidP="003A6FBE"/>
    <w:p w14:paraId="2261036E" w14:textId="77777777" w:rsidR="00600625" w:rsidRDefault="00600625" w:rsidP="003A6FBE"/>
    <w:p w14:paraId="7ECD67ED" w14:textId="77777777" w:rsidR="00600625" w:rsidRDefault="00600625" w:rsidP="003A6FBE"/>
    <w:p w14:paraId="2918EE8D" w14:textId="77777777" w:rsidR="00600625" w:rsidRDefault="00600625" w:rsidP="003A6FBE"/>
    <w:p w14:paraId="3C847003" w14:textId="77777777" w:rsidR="00600625" w:rsidRDefault="00600625" w:rsidP="003A6FBE"/>
    <w:p w14:paraId="3FCA064C" w14:textId="77777777" w:rsidR="00600625" w:rsidRDefault="00600625" w:rsidP="003A6FBE"/>
    <w:p w14:paraId="446057F8" w14:textId="77777777" w:rsidR="00600625" w:rsidRDefault="00600625" w:rsidP="003A6FBE"/>
    <w:p w14:paraId="3F1B8E13" w14:textId="77777777" w:rsidR="00600625" w:rsidRDefault="00600625" w:rsidP="003A6FBE"/>
    <w:p w14:paraId="1F264599" w14:textId="77777777" w:rsidR="00600625" w:rsidRDefault="00600625" w:rsidP="003A6FBE"/>
    <w:p w14:paraId="1A48B821" w14:textId="77777777" w:rsidR="00600625" w:rsidRDefault="00600625" w:rsidP="003A6FBE"/>
    <w:p w14:paraId="72CC90A5" w14:textId="77777777" w:rsidR="00600625" w:rsidRDefault="00600625" w:rsidP="003A6FBE"/>
    <w:p w14:paraId="2CD5EECC" w14:textId="302ACE58" w:rsidR="00600625" w:rsidRPr="00E43DCD" w:rsidRDefault="0080522C" w:rsidP="003A6FBE">
      <w:pPr>
        <w:spacing w:after="120"/>
      </w:pPr>
      <w:r>
        <w:t>September</w:t>
      </w:r>
      <w:r w:rsidR="00B7492E">
        <w:t xml:space="preserve"> </w:t>
      </w:r>
      <w:r w:rsidR="004840D8" w:rsidRPr="00E43DCD">
        <w:t>201</w:t>
      </w:r>
      <w:r w:rsidR="004840D8">
        <w:t>9</w:t>
      </w:r>
      <w:r w:rsidR="004840D8" w:rsidRPr="00E43DCD">
        <w:t xml:space="preserve"> </w:t>
      </w:r>
      <w:r w:rsidR="00600625" w:rsidRPr="00E43DCD">
        <w:t>| Version 1.</w:t>
      </w:r>
      <w:r>
        <w:t>2</w:t>
      </w:r>
      <w:r w:rsidR="004840D8" w:rsidRPr="00E43DCD">
        <w:t xml:space="preserve"> </w:t>
      </w:r>
    </w:p>
    <w:p w14:paraId="2636CE78" w14:textId="77777777" w:rsidR="00600625" w:rsidRPr="00E43DCD" w:rsidRDefault="00600625" w:rsidP="003A6FBE">
      <w:pPr>
        <w:spacing w:after="0"/>
      </w:pPr>
      <w:r w:rsidRPr="00E43DCD">
        <w:t xml:space="preserve">Skills Canberra </w:t>
      </w:r>
    </w:p>
    <w:p w14:paraId="1F9B9A94" w14:textId="77777777" w:rsidR="00600625" w:rsidRPr="00E43DCD" w:rsidRDefault="00600625" w:rsidP="003A6FBE">
      <w:pPr>
        <w:spacing w:after="120"/>
      </w:pPr>
      <w:r w:rsidRPr="00E43DCD">
        <w:t xml:space="preserve">Chief Minister, Treasury and Economic Development Directorate </w:t>
      </w:r>
    </w:p>
    <w:p w14:paraId="2F85D019" w14:textId="77777777" w:rsidR="00600625" w:rsidRPr="00E43DCD" w:rsidRDefault="00600625" w:rsidP="003A6FBE">
      <w:pPr>
        <w:spacing w:after="0"/>
      </w:pPr>
      <w:r w:rsidRPr="00E43DCD">
        <w:t xml:space="preserve">Canberra Nara Centre </w:t>
      </w:r>
    </w:p>
    <w:p w14:paraId="3B8D08A1" w14:textId="77777777" w:rsidR="00600625" w:rsidRPr="00E43DCD" w:rsidRDefault="00600625" w:rsidP="003A6FBE">
      <w:pPr>
        <w:spacing w:after="120"/>
      </w:pPr>
      <w:r w:rsidRPr="00E43DCD">
        <w:t xml:space="preserve">1 Constitution Avenue, Canberra, ACT </w:t>
      </w:r>
    </w:p>
    <w:p w14:paraId="2C90CF26" w14:textId="77777777" w:rsidR="00600625" w:rsidRPr="000A1A3C" w:rsidRDefault="00600625" w:rsidP="003A6FBE">
      <w:pPr>
        <w:spacing w:after="60"/>
      </w:pPr>
      <w:r w:rsidRPr="000A1A3C">
        <w:t xml:space="preserve">Phone: </w:t>
      </w:r>
      <w:r>
        <w:tab/>
      </w:r>
      <w:r w:rsidRPr="000A1A3C">
        <w:t xml:space="preserve">02 6205 8555 </w:t>
      </w:r>
    </w:p>
    <w:p w14:paraId="4A67A34B" w14:textId="77777777" w:rsidR="00600625" w:rsidRPr="003A6FBE" w:rsidRDefault="00600625" w:rsidP="003A6FBE">
      <w:pPr>
        <w:spacing w:after="60"/>
      </w:pPr>
      <w:r w:rsidRPr="000A1A3C">
        <w:t>Email:</w:t>
      </w:r>
      <w:r>
        <w:tab/>
      </w:r>
      <w:r w:rsidRPr="000A1A3C">
        <w:t xml:space="preserve"> </w:t>
      </w:r>
      <w:r w:rsidR="00606617">
        <w:tab/>
      </w:r>
      <w:hyperlink r:id="rId10" w:history="1">
        <w:r w:rsidRPr="003A6FBE">
          <w:rPr>
            <w:rStyle w:val="Hyperlink"/>
            <w:rFonts w:cs="Source Sans Pro Light"/>
          </w:rPr>
          <w:t>skills@act.gov.au</w:t>
        </w:r>
      </w:hyperlink>
      <w:r w:rsidRPr="003A6FBE">
        <w:t xml:space="preserve"> </w:t>
      </w:r>
    </w:p>
    <w:p w14:paraId="04F060D2" w14:textId="4005A194" w:rsidR="00600625" w:rsidRPr="003A6FBE" w:rsidRDefault="00600625" w:rsidP="003A6FBE">
      <w:pPr>
        <w:spacing w:after="60"/>
        <w:rPr>
          <w:b/>
        </w:rPr>
      </w:pPr>
      <w:r w:rsidRPr="003A6FBE">
        <w:t xml:space="preserve">Web: </w:t>
      </w:r>
      <w:r w:rsidR="00606617">
        <w:tab/>
      </w:r>
      <w:r w:rsidRPr="003A6FBE">
        <w:tab/>
      </w:r>
      <w:hyperlink r:id="rId11" w:history="1">
        <w:r w:rsidR="004840D8" w:rsidRPr="004840D8">
          <w:rPr>
            <w:rStyle w:val="Hyperlink"/>
            <w:rFonts w:cs="Source Sans Pro Light"/>
          </w:rPr>
          <w:t>http://www.skills.act.gov.au</w:t>
        </w:r>
      </w:hyperlink>
    </w:p>
    <w:p w14:paraId="14BF1356" w14:textId="77777777" w:rsidR="00600625" w:rsidRDefault="00600625" w:rsidP="003A6FBE">
      <w:pPr>
        <w:rPr>
          <w:noProof/>
        </w:rPr>
      </w:pPr>
      <w:r>
        <w:br w:type="page"/>
      </w:r>
    </w:p>
    <w:p w14:paraId="015582D1" w14:textId="77777777" w:rsidR="002D33BC" w:rsidRPr="00482E0B" w:rsidRDefault="002D33BC" w:rsidP="00AD07F5">
      <w:pPr>
        <w:pStyle w:val="Title"/>
      </w:pPr>
      <w:r w:rsidRPr="00482E0B">
        <w:lastRenderedPageBreak/>
        <w:t>Content</w:t>
      </w:r>
      <w:r w:rsidR="00AD07F5">
        <w:t>S</w:t>
      </w:r>
    </w:p>
    <w:p w14:paraId="2AA6137B" w14:textId="77777777" w:rsidR="00EE5BC7" w:rsidRDefault="0087245D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fldChar w:fldCharType="begin"/>
      </w:r>
      <w:r>
        <w:instrText xml:space="preserve"> TOC \o "1-4" \u </w:instrText>
      </w:r>
      <w:r>
        <w:fldChar w:fldCharType="separate"/>
      </w:r>
      <w:r w:rsidR="00EE5BC7" w:rsidRPr="00C205EA">
        <w:rPr>
          <w:rFonts w:eastAsia="Times New Roman"/>
        </w:rPr>
        <w:t>list of resources</w:t>
      </w:r>
      <w:r w:rsidR="00EE5BC7">
        <w:tab/>
      </w:r>
      <w:r w:rsidR="00EE5BC7">
        <w:fldChar w:fldCharType="begin"/>
      </w:r>
      <w:r w:rsidR="00EE5BC7">
        <w:instrText xml:space="preserve"> PAGEREF _Toc500417244 \h </w:instrText>
      </w:r>
      <w:r w:rsidR="00EE5BC7">
        <w:fldChar w:fldCharType="separate"/>
      </w:r>
      <w:r w:rsidR="005D5D24">
        <w:t>4</w:t>
      </w:r>
      <w:r w:rsidR="00EE5BC7">
        <w:fldChar w:fldCharType="end"/>
      </w:r>
    </w:p>
    <w:p w14:paraId="40462FD3" w14:textId="77777777" w:rsidR="00EE5BC7" w:rsidRDefault="00EE5BC7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</w:rPr>
      </w:pPr>
      <w:r>
        <w:rPr>
          <w:noProof/>
        </w:rPr>
        <w:t>forms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_Toc500417245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4</w:t>
      </w:r>
      <w:r>
        <w:rPr>
          <w:noProof/>
        </w:rPr>
        <w:fldChar w:fldCharType="end"/>
      </w:r>
    </w:p>
    <w:p w14:paraId="5FA578D5" w14:textId="77777777" w:rsidR="00EE5BC7" w:rsidRDefault="00EE5BC7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</w:rPr>
      </w:pPr>
      <w:r>
        <w:rPr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_Toc500417246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4</w:t>
      </w:r>
      <w:r>
        <w:rPr>
          <w:noProof/>
        </w:rPr>
        <w:fldChar w:fldCharType="end"/>
      </w:r>
    </w:p>
    <w:p w14:paraId="6A1972A5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 w:rsidRPr="00C205EA">
        <w:rPr>
          <w:rFonts w:eastAsia="Times New Roman"/>
        </w:rPr>
        <w:t>ABOUT THIS DOCUMENT</w:t>
      </w:r>
      <w:r>
        <w:tab/>
      </w:r>
      <w:r>
        <w:fldChar w:fldCharType="begin"/>
      </w:r>
      <w:r>
        <w:instrText xml:space="preserve"> PAGEREF _Toc500417247 \h </w:instrText>
      </w:r>
      <w:r>
        <w:fldChar w:fldCharType="separate"/>
      </w:r>
      <w:r w:rsidR="005D5D24">
        <w:t>5</w:t>
      </w:r>
      <w:r>
        <w:fldChar w:fldCharType="end"/>
      </w:r>
    </w:p>
    <w:p w14:paraId="6D501A07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INTRODUCTION</w:t>
      </w:r>
      <w:r>
        <w:tab/>
      </w:r>
      <w:r>
        <w:fldChar w:fldCharType="begin"/>
      </w:r>
      <w:r>
        <w:instrText xml:space="preserve"> PAGEREF _Toc500417248 \h </w:instrText>
      </w:r>
      <w:r>
        <w:fldChar w:fldCharType="separate"/>
      </w:r>
      <w:r w:rsidR="005D5D24">
        <w:t>5</w:t>
      </w:r>
      <w:r>
        <w:fldChar w:fldCharType="end"/>
      </w:r>
    </w:p>
    <w:p w14:paraId="35036293" w14:textId="77777777" w:rsidR="00EE5BC7" w:rsidRDefault="00EE5BC7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</w:rPr>
      </w:pPr>
      <w:r>
        <w:rPr>
          <w:noProof/>
        </w:rPr>
        <w:t>National Standards for Group Training Organisations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_Toc500417249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5</w:t>
      </w:r>
      <w:r>
        <w:rPr>
          <w:noProof/>
        </w:rPr>
        <w:fldChar w:fldCharType="end"/>
      </w:r>
    </w:p>
    <w:p w14:paraId="5DE967C2" w14:textId="77777777" w:rsidR="00EE5BC7" w:rsidRDefault="00EE5BC7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</w:rPr>
      </w:pPr>
      <w:r>
        <w:rPr>
          <w:noProof/>
        </w:rPr>
        <w:t>OVERVIEW OF GTO REGISTRATION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_Toc500417250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5</w:t>
      </w:r>
      <w:r>
        <w:rPr>
          <w:noProof/>
        </w:rPr>
        <w:fldChar w:fldCharType="end"/>
      </w:r>
    </w:p>
    <w:p w14:paraId="5E3E6CD2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registration APPLICATION process</w:t>
      </w:r>
      <w:r>
        <w:tab/>
      </w:r>
      <w:r>
        <w:fldChar w:fldCharType="begin"/>
      </w:r>
      <w:r>
        <w:instrText xml:space="preserve"> PAGEREF _Toc500417251 \h </w:instrText>
      </w:r>
      <w:r>
        <w:fldChar w:fldCharType="separate"/>
      </w:r>
      <w:r w:rsidR="005D5D24">
        <w:t>6</w:t>
      </w:r>
      <w:r>
        <w:fldChar w:fldCharType="end"/>
      </w:r>
    </w:p>
    <w:p w14:paraId="1BE18AFC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Self-Assessment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_Toc500417252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6</w:t>
      </w:r>
      <w:r>
        <w:rPr>
          <w:noProof/>
        </w:rPr>
        <w:fldChar w:fldCharType="end"/>
      </w:r>
    </w:p>
    <w:p w14:paraId="369D9F18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Compliance Assessment Report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_Toc500417253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6</w:t>
      </w:r>
      <w:r>
        <w:rPr>
          <w:noProof/>
        </w:rPr>
        <w:fldChar w:fldCharType="end"/>
      </w:r>
    </w:p>
    <w:p w14:paraId="57ED2260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Application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_Toc500417254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6</w:t>
      </w:r>
      <w:r>
        <w:rPr>
          <w:noProof/>
        </w:rPr>
        <w:fldChar w:fldCharType="end"/>
      </w:r>
    </w:p>
    <w:p w14:paraId="3F4CA1BB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Compliance Audit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_Toc500417255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6</w:t>
      </w:r>
      <w:r>
        <w:rPr>
          <w:noProof/>
        </w:rPr>
        <w:fldChar w:fldCharType="end"/>
      </w:r>
    </w:p>
    <w:p w14:paraId="79E54923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APPLICATION LODGEMENT</w:t>
      </w:r>
      <w:r>
        <w:tab/>
      </w:r>
      <w:r>
        <w:fldChar w:fldCharType="begin"/>
      </w:r>
      <w:r>
        <w:instrText xml:space="preserve"> PAGEREF _Toc500417256 \h </w:instrText>
      </w:r>
      <w:r>
        <w:fldChar w:fldCharType="separate"/>
      </w:r>
      <w:r w:rsidR="005D5D24">
        <w:t>6</w:t>
      </w:r>
      <w:r>
        <w:fldChar w:fldCharType="end"/>
      </w:r>
    </w:p>
    <w:p w14:paraId="6C33CB7C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APPLICATION ASSESSMENT</w:t>
      </w:r>
      <w:r>
        <w:tab/>
      </w:r>
      <w:r>
        <w:fldChar w:fldCharType="begin"/>
      </w:r>
      <w:r>
        <w:instrText xml:space="preserve"> PAGEREF _Toc500417257 \h </w:instrText>
      </w:r>
      <w:r>
        <w:fldChar w:fldCharType="separate"/>
      </w:r>
      <w:r w:rsidR="005D5D24">
        <w:t>8</w:t>
      </w:r>
      <w:r>
        <w:fldChar w:fldCharType="end"/>
      </w:r>
    </w:p>
    <w:p w14:paraId="1A1232FC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Compliance Audit Process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_Toc500417258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8</w:t>
      </w:r>
      <w:r>
        <w:rPr>
          <w:noProof/>
        </w:rPr>
        <w:fldChar w:fldCharType="end"/>
      </w:r>
    </w:p>
    <w:p w14:paraId="473AA66B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Audit Participants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_Toc500417259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9</w:t>
      </w:r>
      <w:r>
        <w:rPr>
          <w:noProof/>
        </w:rPr>
        <w:fldChar w:fldCharType="end"/>
      </w:r>
    </w:p>
    <w:p w14:paraId="300F2B8B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Audit Outcomes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_Toc500417260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9</w:t>
      </w:r>
      <w:r>
        <w:rPr>
          <w:noProof/>
        </w:rPr>
        <w:fldChar w:fldCharType="end"/>
      </w:r>
    </w:p>
    <w:p w14:paraId="510630B6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REGISTRATION</w:t>
      </w:r>
      <w:r>
        <w:tab/>
      </w:r>
      <w:r>
        <w:fldChar w:fldCharType="begin"/>
      </w:r>
      <w:r>
        <w:instrText xml:space="preserve"> PAGEREF _Toc500417261 \h </w:instrText>
      </w:r>
      <w:r>
        <w:fldChar w:fldCharType="separate"/>
      </w:r>
      <w:r w:rsidR="005D5D24">
        <w:t>9</w:t>
      </w:r>
      <w:r>
        <w:fldChar w:fldCharType="end"/>
      </w:r>
    </w:p>
    <w:p w14:paraId="75879F50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Auditor Recommendation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_Toc500417262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9</w:t>
      </w:r>
      <w:r>
        <w:rPr>
          <w:noProof/>
        </w:rPr>
        <w:fldChar w:fldCharType="end"/>
      </w:r>
    </w:p>
    <w:p w14:paraId="6EF7C129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Cost of GTO Registration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_Toc500417263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10</w:t>
      </w:r>
      <w:r>
        <w:rPr>
          <w:noProof/>
        </w:rPr>
        <w:fldChar w:fldCharType="end"/>
      </w:r>
    </w:p>
    <w:p w14:paraId="31BA40E6" w14:textId="77777777" w:rsidR="00EE5BC7" w:rsidRDefault="00EE5BC7">
      <w:pPr>
        <w:pStyle w:val="TOC4"/>
        <w:tabs>
          <w:tab w:val="right" w:leader="dot" w:pos="9060"/>
        </w:tabs>
        <w:rPr>
          <w:rFonts w:eastAsiaTheme="minorEastAsia" w:cstheme="minorBidi"/>
          <w:noProof/>
          <w:color w:val="auto"/>
          <w:sz w:val="22"/>
          <w:szCs w:val="22"/>
        </w:rPr>
      </w:pPr>
      <w:r>
        <w:rPr>
          <w:noProof/>
        </w:rPr>
        <w:t>Registration Term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_Toc500417264 \h </w:instrText>
      </w:r>
      <w:r>
        <w:rPr>
          <w:noProof/>
        </w:rPr>
      </w:r>
      <w:r>
        <w:rPr>
          <w:noProof/>
        </w:rPr>
        <w:fldChar w:fldCharType="separate"/>
      </w:r>
      <w:r w:rsidR="005D5D24">
        <w:rPr>
          <w:noProof/>
        </w:rPr>
        <w:t>10</w:t>
      </w:r>
      <w:r>
        <w:rPr>
          <w:noProof/>
        </w:rPr>
        <w:fldChar w:fldCharType="end"/>
      </w:r>
    </w:p>
    <w:p w14:paraId="51588CE6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COMPLIANCE MONITORING</w:t>
      </w:r>
      <w:r>
        <w:tab/>
      </w:r>
      <w:r>
        <w:fldChar w:fldCharType="begin"/>
      </w:r>
      <w:r>
        <w:instrText xml:space="preserve"> PAGEREF _Toc500417265 \h </w:instrText>
      </w:r>
      <w:r>
        <w:fldChar w:fldCharType="separate"/>
      </w:r>
      <w:r w:rsidR="005D5D24">
        <w:t>10</w:t>
      </w:r>
      <w:r>
        <w:fldChar w:fldCharType="end"/>
      </w:r>
    </w:p>
    <w:p w14:paraId="4D22291F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De-registration</w:t>
      </w:r>
      <w:r>
        <w:tab/>
      </w:r>
      <w:r>
        <w:fldChar w:fldCharType="begin"/>
      </w:r>
      <w:r>
        <w:instrText xml:space="preserve"> PAGEREF _Toc500417266 \h </w:instrText>
      </w:r>
      <w:r>
        <w:fldChar w:fldCharType="separate"/>
      </w:r>
      <w:r w:rsidR="005D5D24">
        <w:t>11</w:t>
      </w:r>
      <w:r>
        <w:fldChar w:fldCharType="end"/>
      </w:r>
    </w:p>
    <w:p w14:paraId="329074BC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Re-registration</w:t>
      </w:r>
      <w:r>
        <w:tab/>
      </w:r>
      <w:r>
        <w:fldChar w:fldCharType="begin"/>
      </w:r>
      <w:r>
        <w:instrText xml:space="preserve"> PAGEREF _Toc500417267 \h </w:instrText>
      </w:r>
      <w:r>
        <w:fldChar w:fldCharType="separate"/>
      </w:r>
      <w:r w:rsidR="005D5D24">
        <w:t>11</w:t>
      </w:r>
      <w:r>
        <w:fldChar w:fldCharType="end"/>
      </w:r>
    </w:p>
    <w:p w14:paraId="6ADB2E68" w14:textId="77777777" w:rsidR="00EE5BC7" w:rsidRDefault="00EE5BC7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2"/>
        </w:rPr>
      </w:pPr>
      <w:r>
        <w:t>Further Information</w:t>
      </w:r>
      <w:r>
        <w:tab/>
      </w:r>
      <w:r>
        <w:fldChar w:fldCharType="begin"/>
      </w:r>
      <w:r>
        <w:instrText xml:space="preserve"> PAGEREF _Toc500417268 \h </w:instrText>
      </w:r>
      <w:r>
        <w:fldChar w:fldCharType="separate"/>
      </w:r>
      <w:r w:rsidR="005D5D24">
        <w:t>11</w:t>
      </w:r>
      <w:r>
        <w:fldChar w:fldCharType="end"/>
      </w:r>
    </w:p>
    <w:p w14:paraId="35A1B911" w14:textId="77777777" w:rsidR="00C34A60" w:rsidRDefault="0087245D" w:rsidP="001013BC">
      <w:r>
        <w:rPr>
          <w:rFonts w:asciiTheme="majorHAnsi" w:hAnsiTheme="majorHAnsi"/>
          <w:noProof/>
          <w:color w:val="482D8C" w:themeColor="background2"/>
          <w:sz w:val="36"/>
          <w:szCs w:val="40"/>
        </w:rPr>
        <w:fldChar w:fldCharType="end"/>
      </w:r>
      <w:r w:rsidR="00C34A60">
        <w:br w:type="page"/>
      </w:r>
    </w:p>
    <w:p w14:paraId="66ACBADB" w14:textId="6A589E6C" w:rsidR="00DE454F" w:rsidRDefault="00DE454F" w:rsidP="00AD07F5">
      <w:pPr>
        <w:pStyle w:val="Heading1"/>
        <w:rPr>
          <w:rFonts w:eastAsia="Times New Roman"/>
        </w:rPr>
      </w:pPr>
      <w:bookmarkStart w:id="1" w:name="_Toc500417244"/>
      <w:bookmarkStart w:id="2" w:name="_Toc499799354"/>
      <w:r>
        <w:rPr>
          <w:rFonts w:eastAsia="Times New Roman"/>
        </w:rPr>
        <w:lastRenderedPageBreak/>
        <w:t>list of</w:t>
      </w:r>
      <w:r w:rsidR="00847A34">
        <w:rPr>
          <w:rFonts w:eastAsia="Times New Roman"/>
        </w:rPr>
        <w:t xml:space="preserve"> resources</w:t>
      </w:r>
      <w:bookmarkEnd w:id="1"/>
    </w:p>
    <w:p w14:paraId="3E107AD5" w14:textId="1944FFD8" w:rsidR="00847A34" w:rsidRDefault="00847A34" w:rsidP="00847A34">
      <w:pPr>
        <w:pStyle w:val="Heading2"/>
      </w:pPr>
      <w:bookmarkStart w:id="3" w:name="_Toc500417245"/>
      <w:r>
        <w:t>forms</w:t>
      </w:r>
      <w:bookmarkEnd w:id="3"/>
    </w:p>
    <w:p w14:paraId="0717B95E" w14:textId="5B97300D" w:rsidR="00847A34" w:rsidRPr="006B489C" w:rsidRDefault="006B489C" w:rsidP="00D447E2">
      <w:pPr>
        <w:spacing w:after="120"/>
        <w:rPr>
          <w:rStyle w:val="Hyperlink"/>
          <w:szCs w:val="24"/>
          <w:lang w:val="en-US"/>
        </w:rPr>
      </w:pPr>
      <w:r>
        <w:rPr>
          <w:szCs w:val="24"/>
          <w:lang w:val="en-US"/>
        </w:rPr>
        <w:fldChar w:fldCharType="begin"/>
      </w:r>
      <w:r w:rsidR="00444A6D">
        <w:rPr>
          <w:szCs w:val="24"/>
          <w:lang w:val="en-US"/>
        </w:rPr>
        <w:instrText>HYPERLINK "https://www.skills.act.gov.au/employers"</w:instrText>
      </w:r>
      <w:r>
        <w:rPr>
          <w:szCs w:val="24"/>
          <w:lang w:val="en-US"/>
        </w:rPr>
        <w:fldChar w:fldCharType="separate"/>
      </w:r>
      <w:r w:rsidR="00D447E2" w:rsidRPr="006B489C">
        <w:rPr>
          <w:rStyle w:val="Hyperlink"/>
          <w:szCs w:val="24"/>
          <w:lang w:val="en-US"/>
        </w:rPr>
        <w:t xml:space="preserve">ACT </w:t>
      </w:r>
      <w:r w:rsidR="00D447E2" w:rsidRPr="006B489C">
        <w:rPr>
          <w:rStyle w:val="Hyperlink"/>
          <w:rFonts w:eastAsia="Times New Roman"/>
          <w:lang w:val="en"/>
        </w:rPr>
        <w:t>Group Training Organisation Application Form</w:t>
      </w:r>
    </w:p>
    <w:p w14:paraId="4F7301E2" w14:textId="0249B2C1" w:rsidR="00D447E2" w:rsidRPr="006B489C" w:rsidRDefault="006B489C" w:rsidP="00D447E2">
      <w:pPr>
        <w:spacing w:after="120"/>
        <w:rPr>
          <w:rStyle w:val="Hyperlink"/>
          <w:rFonts w:eastAsia="Times New Roman"/>
          <w:lang w:val="en"/>
        </w:rPr>
      </w:pPr>
      <w:r>
        <w:rPr>
          <w:szCs w:val="24"/>
          <w:lang w:val="en-US"/>
        </w:rPr>
        <w:fldChar w:fldCharType="end"/>
      </w:r>
      <w:r>
        <w:rPr>
          <w:rFonts w:eastAsia="Times New Roman"/>
          <w:lang w:val="en"/>
        </w:rPr>
        <w:fldChar w:fldCharType="begin"/>
      </w:r>
      <w:r w:rsidR="00444A6D">
        <w:rPr>
          <w:rFonts w:eastAsia="Times New Roman"/>
          <w:lang w:val="en"/>
        </w:rPr>
        <w:instrText>HYPERLINK "https://www.skills.act.gov.au/employers"</w:instrText>
      </w:r>
      <w:r>
        <w:rPr>
          <w:rFonts w:eastAsia="Times New Roman"/>
          <w:lang w:val="en"/>
        </w:rPr>
        <w:fldChar w:fldCharType="separate"/>
      </w:r>
      <w:r w:rsidR="00D447E2" w:rsidRPr="006B489C">
        <w:rPr>
          <w:rStyle w:val="Hyperlink"/>
          <w:rFonts w:eastAsia="Times New Roman"/>
          <w:lang w:val="en"/>
        </w:rPr>
        <w:t>ACT GTO Compliance Assessment Report</w:t>
      </w:r>
    </w:p>
    <w:p w14:paraId="043E345A" w14:textId="17D8CB90" w:rsidR="00B373F8" w:rsidRDefault="006B489C" w:rsidP="00D447E2">
      <w:pPr>
        <w:spacing w:after="120"/>
      </w:pPr>
      <w:r>
        <w:rPr>
          <w:rFonts w:eastAsia="Times New Roman"/>
          <w:lang w:val="en"/>
        </w:rPr>
        <w:fldChar w:fldCharType="end"/>
      </w:r>
      <w:hyperlink r:id="rId12" w:history="1">
        <w:r w:rsidR="00B373F8" w:rsidRPr="00B373F8">
          <w:rPr>
            <w:rStyle w:val="Hyperlink"/>
          </w:rPr>
          <w:t>NSW Group Training Organisation Application Form</w:t>
        </w:r>
      </w:hyperlink>
    </w:p>
    <w:p w14:paraId="6502ECE6" w14:textId="27402EF2" w:rsidR="00B373F8" w:rsidRDefault="00FA7E9D" w:rsidP="00B373F8">
      <w:pPr>
        <w:rPr>
          <w:rFonts w:eastAsia="Times New Roman"/>
          <w:lang w:val="en"/>
        </w:rPr>
      </w:pPr>
      <w:hyperlink r:id="rId13" w:history="1">
        <w:r w:rsidR="00E04B06" w:rsidRPr="00B373F8">
          <w:rPr>
            <w:rStyle w:val="Hyperlink"/>
            <w:rFonts w:eastAsia="Times New Roman"/>
            <w:lang w:val="en"/>
          </w:rPr>
          <w:t xml:space="preserve">NSW </w:t>
        </w:r>
        <w:r w:rsidR="00E04B06">
          <w:rPr>
            <w:rStyle w:val="Hyperlink"/>
            <w:rFonts w:eastAsia="Times New Roman"/>
            <w:lang w:val="en"/>
          </w:rPr>
          <w:t xml:space="preserve">GTO </w:t>
        </w:r>
        <w:r w:rsidR="00E04B06" w:rsidRPr="00B373F8">
          <w:rPr>
            <w:rStyle w:val="Hyperlink"/>
            <w:rFonts w:eastAsia="Times New Roman"/>
            <w:lang w:val="en"/>
          </w:rPr>
          <w:t>Compliance Assessment Report</w:t>
        </w:r>
      </w:hyperlink>
    </w:p>
    <w:p w14:paraId="6455C597" w14:textId="77777777" w:rsidR="00E04B06" w:rsidRDefault="00E04B06" w:rsidP="00B373F8"/>
    <w:p w14:paraId="37AB796F" w14:textId="00A27A2A" w:rsidR="00DE454F" w:rsidRDefault="00847A34" w:rsidP="00847A34">
      <w:pPr>
        <w:pStyle w:val="Heading2"/>
      </w:pPr>
      <w:bookmarkStart w:id="4" w:name="_Toc500417246"/>
      <w:r>
        <w:t>RESOURCES</w:t>
      </w:r>
      <w:bookmarkEnd w:id="4"/>
    </w:p>
    <w:p w14:paraId="5AA9E8E1" w14:textId="0AD26557" w:rsidR="00847A34" w:rsidRPr="00F331DE" w:rsidRDefault="00F331DE" w:rsidP="00D447E2">
      <w:pPr>
        <w:spacing w:after="120"/>
        <w:rPr>
          <w:rStyle w:val="Hyperlink"/>
        </w:rPr>
      </w:pPr>
      <w:r>
        <w:fldChar w:fldCharType="begin"/>
      </w:r>
      <w:r w:rsidR="00444A6D">
        <w:instrText>HYPERLINK "https://www.australianapprenticeships.gov.au/gto-national-standards"</w:instrText>
      </w:r>
      <w:r>
        <w:fldChar w:fldCharType="separate"/>
      </w:r>
      <w:r w:rsidR="00847A34" w:rsidRPr="00F331DE">
        <w:rPr>
          <w:rStyle w:val="Hyperlink"/>
        </w:rPr>
        <w:t>National Standards for Group Training Organisations</w:t>
      </w:r>
    </w:p>
    <w:p w14:paraId="42CE090A" w14:textId="4D9762C4" w:rsidR="00847A34" w:rsidRPr="00444A6D" w:rsidRDefault="00F331DE" w:rsidP="00D447E2">
      <w:pPr>
        <w:spacing w:after="120"/>
        <w:rPr>
          <w:rStyle w:val="Hyperlink"/>
          <w:rFonts w:cs="Arial"/>
        </w:rPr>
      </w:pPr>
      <w:r>
        <w:fldChar w:fldCharType="end"/>
      </w:r>
      <w:r w:rsidR="00444A6D">
        <w:rPr>
          <w:rFonts w:cs="Arial"/>
        </w:rPr>
        <w:fldChar w:fldCharType="begin"/>
      </w:r>
      <w:r w:rsidR="00444A6D">
        <w:rPr>
          <w:rFonts w:cs="Arial"/>
        </w:rPr>
        <w:instrText xml:space="preserve"> HYPERLINK "https://www.australianapprenticeships.gov.au/gto-national-standards" </w:instrText>
      </w:r>
      <w:r w:rsidR="00444A6D">
        <w:rPr>
          <w:rFonts w:cs="Arial"/>
        </w:rPr>
        <w:fldChar w:fldCharType="separate"/>
      </w:r>
      <w:r w:rsidR="00847A34" w:rsidRPr="00444A6D">
        <w:rPr>
          <w:rStyle w:val="Hyperlink"/>
          <w:rFonts w:cs="Arial"/>
        </w:rPr>
        <w:t>Evidence Guide for GTOs to Support the National Standards</w:t>
      </w:r>
    </w:p>
    <w:p w14:paraId="256378B1" w14:textId="6B096A23" w:rsidR="00847A34" w:rsidRPr="00444A6D" w:rsidRDefault="00444A6D" w:rsidP="00D447E2">
      <w:pPr>
        <w:spacing w:after="120"/>
        <w:rPr>
          <w:rStyle w:val="Hyperlink"/>
          <w:rFonts w:cs="Arial"/>
        </w:rPr>
      </w:pPr>
      <w:r>
        <w:rPr>
          <w:rFonts w:cs="Arial"/>
        </w:rPr>
        <w:fldChar w:fldCharType="end"/>
      </w:r>
      <w:r>
        <w:fldChar w:fldCharType="begin"/>
      </w:r>
      <w:r>
        <w:instrText xml:space="preserve"> HYPERLINK "https://www.australianapprenticeships.gov.au/search-gto" </w:instrText>
      </w:r>
      <w:r>
        <w:fldChar w:fldCharType="separate"/>
      </w:r>
      <w:r w:rsidR="00847A34" w:rsidRPr="00444A6D">
        <w:rPr>
          <w:rStyle w:val="Hyperlink"/>
        </w:rPr>
        <w:t>GTO National Register</w:t>
      </w:r>
    </w:p>
    <w:p w14:paraId="2C587478" w14:textId="77390B6B" w:rsidR="00DE454F" w:rsidRDefault="00444A6D" w:rsidP="00847A34">
      <w:r>
        <w:fldChar w:fldCharType="end"/>
      </w:r>
      <w:r w:rsidR="00DE454F">
        <w:br w:type="page"/>
      </w:r>
    </w:p>
    <w:p w14:paraId="18458D28" w14:textId="0B89463E" w:rsidR="003A6FBE" w:rsidRDefault="003A6FBE" w:rsidP="00AD07F5">
      <w:pPr>
        <w:pStyle w:val="Heading1"/>
        <w:rPr>
          <w:rFonts w:eastAsia="Times New Roman"/>
        </w:rPr>
      </w:pPr>
      <w:bookmarkStart w:id="5" w:name="_Toc500417247"/>
      <w:r w:rsidRPr="00B72174">
        <w:rPr>
          <w:rFonts w:eastAsia="Times New Roman"/>
        </w:rPr>
        <w:lastRenderedPageBreak/>
        <w:t>ABOUT THIS DOCUMENT</w:t>
      </w:r>
      <w:bookmarkEnd w:id="5"/>
      <w:r w:rsidRPr="00B72174">
        <w:rPr>
          <w:rFonts w:eastAsia="Times New Roman"/>
        </w:rPr>
        <w:t xml:space="preserve"> </w:t>
      </w:r>
    </w:p>
    <w:p w14:paraId="3F44F20D" w14:textId="10D6BFF1" w:rsidR="003A6FBE" w:rsidRPr="00EF7AF9" w:rsidRDefault="003A6FBE" w:rsidP="00D60DC0">
      <w:r w:rsidRPr="00EF7AF9">
        <w:t>Th</w:t>
      </w:r>
      <w:r w:rsidR="00DE454F">
        <w:t>is</w:t>
      </w:r>
      <w:r w:rsidRPr="00EF7AF9">
        <w:t xml:space="preserve"> Guide provide</w:t>
      </w:r>
      <w:r w:rsidR="00DE454F">
        <w:t>s</w:t>
      </w:r>
      <w:r w:rsidRPr="00EF7AF9">
        <w:t xml:space="preserve"> important information about how </w:t>
      </w:r>
      <w:r>
        <w:t xml:space="preserve">group </w:t>
      </w:r>
      <w:r w:rsidRPr="00EF7AF9">
        <w:t>training organisations (</w:t>
      </w:r>
      <w:r>
        <w:t>G</w:t>
      </w:r>
      <w:r w:rsidRPr="00EF7AF9">
        <w:t xml:space="preserve">TOs) apply </w:t>
      </w:r>
      <w:r>
        <w:t>to become an ACT registered GTO</w:t>
      </w:r>
      <w:r w:rsidRPr="00EF7AF9">
        <w:t xml:space="preserve">. The Guidelines include: </w:t>
      </w:r>
    </w:p>
    <w:p w14:paraId="5306B13E" w14:textId="77777777" w:rsidR="003A6FBE" w:rsidRPr="00AC052E" w:rsidRDefault="003A6FBE" w:rsidP="00AC052E">
      <w:pPr>
        <w:pStyle w:val="Bullet1"/>
        <w:ind w:left="357" w:hanging="357"/>
        <w:rPr>
          <w:sz w:val="21"/>
          <w:szCs w:val="21"/>
        </w:rPr>
      </w:pPr>
      <w:r w:rsidRPr="00AC052E">
        <w:rPr>
          <w:sz w:val="21"/>
          <w:szCs w:val="21"/>
        </w:rPr>
        <w:t>an overview of group training arrangements</w:t>
      </w:r>
    </w:p>
    <w:p w14:paraId="42CA6D2B" w14:textId="77777777" w:rsidR="003A6FBE" w:rsidRPr="00AC052E" w:rsidRDefault="003A6FBE" w:rsidP="00AC052E">
      <w:pPr>
        <w:pStyle w:val="Bullet1"/>
        <w:ind w:left="357" w:hanging="357"/>
        <w:rPr>
          <w:sz w:val="21"/>
          <w:szCs w:val="21"/>
        </w:rPr>
      </w:pPr>
      <w:r w:rsidRPr="00AC052E">
        <w:rPr>
          <w:sz w:val="21"/>
          <w:szCs w:val="21"/>
        </w:rPr>
        <w:t xml:space="preserve">an overview of the GTO </w:t>
      </w:r>
      <w:r w:rsidR="00A61059" w:rsidRPr="00AC052E">
        <w:rPr>
          <w:sz w:val="21"/>
          <w:szCs w:val="21"/>
        </w:rPr>
        <w:t xml:space="preserve">registration </w:t>
      </w:r>
      <w:r w:rsidRPr="00AC052E">
        <w:rPr>
          <w:sz w:val="21"/>
          <w:szCs w:val="21"/>
        </w:rPr>
        <w:t xml:space="preserve">application process </w:t>
      </w:r>
    </w:p>
    <w:p w14:paraId="6ACAD5B2" w14:textId="77777777" w:rsidR="003A6FBE" w:rsidRPr="00AC052E" w:rsidRDefault="003A6FBE" w:rsidP="00AC052E">
      <w:pPr>
        <w:pStyle w:val="Bullet1"/>
        <w:ind w:left="357" w:hanging="357"/>
        <w:rPr>
          <w:sz w:val="21"/>
          <w:szCs w:val="21"/>
        </w:rPr>
      </w:pPr>
      <w:r w:rsidRPr="00AC052E">
        <w:rPr>
          <w:sz w:val="21"/>
          <w:szCs w:val="21"/>
        </w:rPr>
        <w:t xml:space="preserve">how the registration process occurs </w:t>
      </w:r>
    </w:p>
    <w:p w14:paraId="02750E05" w14:textId="77777777" w:rsidR="003A6FBE" w:rsidRPr="00AC052E" w:rsidRDefault="003A6FBE" w:rsidP="00AC052E">
      <w:pPr>
        <w:pStyle w:val="Bullet1"/>
        <w:ind w:left="357" w:hanging="357"/>
        <w:rPr>
          <w:sz w:val="21"/>
          <w:szCs w:val="21"/>
        </w:rPr>
      </w:pPr>
      <w:r w:rsidRPr="00AC052E">
        <w:rPr>
          <w:sz w:val="21"/>
          <w:szCs w:val="21"/>
        </w:rPr>
        <w:t>length of registration</w:t>
      </w:r>
    </w:p>
    <w:p w14:paraId="5FA78F23" w14:textId="77777777" w:rsidR="003A6FBE" w:rsidRPr="00AC052E" w:rsidRDefault="003A6FBE" w:rsidP="00AC052E">
      <w:pPr>
        <w:pStyle w:val="Bullet1"/>
        <w:ind w:left="357" w:hanging="357"/>
        <w:rPr>
          <w:sz w:val="21"/>
          <w:szCs w:val="21"/>
        </w:rPr>
      </w:pPr>
      <w:r w:rsidRPr="00AC052E">
        <w:rPr>
          <w:sz w:val="21"/>
          <w:szCs w:val="21"/>
        </w:rPr>
        <w:t>cost of registration</w:t>
      </w:r>
    </w:p>
    <w:p w14:paraId="3A2B09D5" w14:textId="77777777" w:rsidR="003A6FBE" w:rsidRPr="00D60DC0" w:rsidRDefault="003A6FBE" w:rsidP="00D60DC0">
      <w:pPr>
        <w:pStyle w:val="Heading1"/>
      </w:pPr>
      <w:bookmarkStart w:id="6" w:name="_Toc500417248"/>
      <w:r w:rsidRPr="00D60DC0">
        <w:t>INTRODUCTION</w:t>
      </w:r>
      <w:bookmarkEnd w:id="6"/>
    </w:p>
    <w:p w14:paraId="2025123D" w14:textId="7DAB7684" w:rsidR="003A6FBE" w:rsidRDefault="003A6FBE" w:rsidP="00872074">
      <w:pPr>
        <w:jc w:val="both"/>
      </w:pPr>
      <w:r w:rsidRPr="00654EE0">
        <w:rPr>
          <w:lang w:val="en"/>
        </w:rPr>
        <w:t xml:space="preserve">GTOs support the Australian Apprenticeships system by providing employment for Australian Apprentices. </w:t>
      </w:r>
      <w:r w:rsidRPr="00654EE0">
        <w:t xml:space="preserve">GTOs employ apprentices and trainees under a </w:t>
      </w:r>
      <w:r w:rsidR="003B3461">
        <w:t xml:space="preserve">National </w:t>
      </w:r>
      <w:r w:rsidRPr="00654EE0">
        <w:t xml:space="preserve">Training Contract </w:t>
      </w:r>
      <w:r w:rsidR="003B3461">
        <w:t xml:space="preserve">(Training Contract) </w:t>
      </w:r>
      <w:r w:rsidRPr="00654EE0">
        <w:t>and place them with host employers.</w:t>
      </w:r>
    </w:p>
    <w:p w14:paraId="49396A2D" w14:textId="5F668F11" w:rsidR="003B3461" w:rsidRDefault="003B3461" w:rsidP="003B3461">
      <w:pPr>
        <w:pStyle w:val="BodyText"/>
        <w:tabs>
          <w:tab w:val="num" w:pos="567"/>
        </w:tabs>
        <w:ind w:right="-8"/>
        <w:jc w:val="both"/>
        <w:rPr>
          <w:lang w:val="en"/>
        </w:rPr>
      </w:pPr>
      <w:r w:rsidRPr="003B3461">
        <w:rPr>
          <w:lang w:val="en"/>
        </w:rPr>
        <w:t>The GTO</w:t>
      </w:r>
      <w:r w:rsidR="00DE454F">
        <w:rPr>
          <w:lang w:val="en"/>
        </w:rPr>
        <w:t>, as the employer</w:t>
      </w:r>
      <w:r w:rsidRPr="003B3461">
        <w:rPr>
          <w:lang w:val="en"/>
        </w:rPr>
        <w:t xml:space="preserve"> </w:t>
      </w:r>
      <w:r w:rsidR="00DE454F">
        <w:rPr>
          <w:lang w:val="en"/>
        </w:rPr>
        <w:t xml:space="preserve">is </w:t>
      </w:r>
      <w:r w:rsidRPr="003B3461">
        <w:rPr>
          <w:lang w:val="en"/>
        </w:rPr>
        <w:t>responsib</w:t>
      </w:r>
      <w:r w:rsidR="00DE454F">
        <w:rPr>
          <w:lang w:val="en"/>
        </w:rPr>
        <w:t>le</w:t>
      </w:r>
      <w:r w:rsidRPr="003B3461">
        <w:rPr>
          <w:lang w:val="en"/>
        </w:rPr>
        <w:t xml:space="preserve"> for the quality and continuity of the apprentices’ and trainees’ employment and training. It also manages the additional care and support necessary to achieve successful completion of the</w:t>
      </w:r>
      <w:r>
        <w:rPr>
          <w:lang w:val="en"/>
        </w:rPr>
        <w:t xml:space="preserve"> </w:t>
      </w:r>
      <w:r w:rsidR="00DE454F">
        <w:rPr>
          <w:lang w:val="en"/>
        </w:rPr>
        <w:t>t</w:t>
      </w:r>
      <w:r w:rsidRPr="003B3461">
        <w:rPr>
          <w:lang w:val="en"/>
        </w:rPr>
        <w:t xml:space="preserve">raining </w:t>
      </w:r>
      <w:r w:rsidR="00DE454F">
        <w:rPr>
          <w:lang w:val="en"/>
        </w:rPr>
        <w:t>c</w:t>
      </w:r>
      <w:r w:rsidRPr="003B3461">
        <w:rPr>
          <w:lang w:val="en"/>
        </w:rPr>
        <w:t>ontract.</w:t>
      </w:r>
    </w:p>
    <w:p w14:paraId="3AAB2D25" w14:textId="77777777" w:rsidR="00E86A6E" w:rsidRDefault="00FA7E9D" w:rsidP="00E86A6E">
      <w:pPr>
        <w:pStyle w:val="Heading2"/>
      </w:pPr>
      <w:hyperlink r:id="rId14" w:history="1">
        <w:bookmarkStart w:id="7" w:name="_Toc500417249"/>
        <w:r w:rsidR="00E86A6E" w:rsidRPr="00654EE0">
          <w:t>National Standards for Group Training Organisations</w:t>
        </w:r>
        <w:bookmarkEnd w:id="7"/>
      </w:hyperlink>
    </w:p>
    <w:p w14:paraId="53EFB464" w14:textId="53820209" w:rsidR="00E86A6E" w:rsidRPr="00872074" w:rsidRDefault="00E86A6E" w:rsidP="00B373F8">
      <w:pPr>
        <w:jc w:val="both"/>
      </w:pPr>
      <w:r w:rsidRPr="00654EE0">
        <w:t xml:space="preserve">The </w:t>
      </w:r>
      <w:hyperlink r:id="rId15" w:history="1">
        <w:r w:rsidR="00847A34" w:rsidRPr="00847A34">
          <w:rPr>
            <w:rStyle w:val="Hyperlink"/>
          </w:rPr>
          <w:t>National Standards for Group Training Organisations</w:t>
        </w:r>
      </w:hyperlink>
      <w:r w:rsidRPr="00654EE0">
        <w:t xml:space="preserve"> </w:t>
      </w:r>
      <w:r w:rsidRPr="00AD07F5">
        <w:t>(</w:t>
      </w:r>
      <w:r w:rsidR="00C07C42" w:rsidRPr="005639FB">
        <w:t>the</w:t>
      </w:r>
      <w:r w:rsidR="00C07C42" w:rsidRPr="005639FB">
        <w:rPr>
          <w:rStyle w:val="Hyperlink"/>
          <w:color w:val="auto"/>
          <w:u w:val="none"/>
        </w:rPr>
        <w:t xml:space="preserve"> Standards</w:t>
      </w:r>
      <w:r w:rsidRPr="00AD07F5">
        <w:t>) provide</w:t>
      </w:r>
      <w:r w:rsidR="00DE454F">
        <w:t>s</w:t>
      </w:r>
      <w:r w:rsidRPr="00AD07F5">
        <w:t xml:space="preserve"> a formal framework that promotes national consistency and quality for group training. </w:t>
      </w:r>
      <w:r w:rsidRPr="00872074">
        <w:t xml:space="preserve">The </w:t>
      </w:r>
      <w:r w:rsidR="00C07C42">
        <w:t>S</w:t>
      </w:r>
      <w:r w:rsidRPr="00872074">
        <w:t>tandards cover three primary areas</w:t>
      </w:r>
      <w:r>
        <w:t>:</w:t>
      </w:r>
      <w:r w:rsidRPr="00872074">
        <w:t xml:space="preserve"> </w:t>
      </w:r>
    </w:p>
    <w:p w14:paraId="2DE832E7" w14:textId="77777777" w:rsidR="00E86A6E" w:rsidRPr="00872074" w:rsidRDefault="00E86A6E" w:rsidP="00AC052E">
      <w:pPr>
        <w:pStyle w:val="Bullet1"/>
        <w:ind w:left="357" w:hanging="357"/>
        <w:jc w:val="both"/>
        <w:rPr>
          <w:lang w:val="en"/>
        </w:rPr>
      </w:pPr>
      <w:r w:rsidRPr="00872074">
        <w:rPr>
          <w:lang w:val="en"/>
        </w:rPr>
        <w:t>Recruitment, employment and induction,</w:t>
      </w:r>
    </w:p>
    <w:p w14:paraId="3FF581D6" w14:textId="77777777" w:rsidR="00E86A6E" w:rsidRPr="00872074" w:rsidRDefault="00E86A6E" w:rsidP="00AC052E">
      <w:pPr>
        <w:pStyle w:val="Bullet1"/>
        <w:ind w:left="357" w:hanging="357"/>
        <w:jc w:val="both"/>
        <w:rPr>
          <w:lang w:val="en"/>
        </w:rPr>
      </w:pPr>
      <w:r w:rsidRPr="00872074">
        <w:rPr>
          <w:lang w:val="en"/>
        </w:rPr>
        <w:t xml:space="preserve">Monitoring and supporting apprentices and trainees to completion, and </w:t>
      </w:r>
    </w:p>
    <w:p w14:paraId="4882D83E" w14:textId="77777777" w:rsidR="00E86A6E" w:rsidRPr="00872074" w:rsidRDefault="00E86A6E" w:rsidP="00AC052E">
      <w:pPr>
        <w:pStyle w:val="Bullet1"/>
        <w:ind w:left="357" w:hanging="357"/>
        <w:jc w:val="both"/>
      </w:pPr>
      <w:r w:rsidRPr="00872074">
        <w:rPr>
          <w:lang w:val="en"/>
        </w:rPr>
        <w:t>GTO</w:t>
      </w:r>
      <w:r w:rsidRPr="00872074">
        <w:rPr>
          <w:rFonts w:eastAsiaTheme="minorEastAsia"/>
        </w:rPr>
        <w:t xml:space="preserve"> Governance and Administration.</w:t>
      </w:r>
    </w:p>
    <w:p w14:paraId="5EAE92C5" w14:textId="77777777" w:rsidR="003A6FBE" w:rsidRDefault="003A6FBE" w:rsidP="001B2021">
      <w:pPr>
        <w:pStyle w:val="Heading2"/>
      </w:pPr>
      <w:bookmarkStart w:id="8" w:name="_Toc500417250"/>
      <w:r w:rsidRPr="00D60DC0">
        <w:t>OVERVIEW OF GTO REGISTRATION</w:t>
      </w:r>
      <w:bookmarkEnd w:id="8"/>
    </w:p>
    <w:p w14:paraId="6A417E02" w14:textId="2253772B" w:rsidR="003B3461" w:rsidRDefault="003B3461" w:rsidP="00B373F8">
      <w:pPr>
        <w:jc w:val="both"/>
      </w:pPr>
      <w:r w:rsidRPr="00AD07F5">
        <w:t>To be</w:t>
      </w:r>
      <w:r w:rsidR="00813A2B">
        <w:t>come</w:t>
      </w:r>
      <w:r w:rsidRPr="00AD07F5">
        <w:t xml:space="preserve"> registered, GTO</w:t>
      </w:r>
      <w:r w:rsidR="00E86A6E">
        <w:t>s</w:t>
      </w:r>
      <w:r w:rsidRPr="00AD07F5">
        <w:t xml:space="preserve"> must demonstrate compliance with </w:t>
      </w:r>
      <w:r w:rsidR="00E86A6E">
        <w:t>the</w:t>
      </w:r>
      <w:r>
        <w:t xml:space="preserve"> </w:t>
      </w:r>
      <w:r w:rsidR="00C07C42">
        <w:t>Standards</w:t>
      </w:r>
      <w:r w:rsidRPr="00AD07F5">
        <w:t xml:space="preserve">, which </w:t>
      </w:r>
      <w:r w:rsidR="00DE454F">
        <w:t xml:space="preserve">then allows </w:t>
      </w:r>
      <w:r w:rsidR="00813A2B">
        <w:t xml:space="preserve">the GTO </w:t>
      </w:r>
      <w:r w:rsidRPr="00AD07F5">
        <w:t xml:space="preserve">to be listed on the </w:t>
      </w:r>
      <w:hyperlink r:id="rId16" w:history="1">
        <w:r w:rsidRPr="00AD07F5">
          <w:rPr>
            <w:rStyle w:val="Hyperlink"/>
          </w:rPr>
          <w:t>GTO National Register</w:t>
        </w:r>
      </w:hyperlink>
      <w:r w:rsidRPr="00AD07F5">
        <w:t xml:space="preserve">. </w:t>
      </w:r>
    </w:p>
    <w:p w14:paraId="6D8C08E3" w14:textId="77777777" w:rsidR="001B2021" w:rsidRPr="00654EE0" w:rsidRDefault="001B2021" w:rsidP="00AC052E">
      <w:pPr>
        <w:spacing w:after="120"/>
        <w:jc w:val="both"/>
      </w:pPr>
      <w:r w:rsidRPr="00654EE0">
        <w:t xml:space="preserve">Registered GTOs are able to: </w:t>
      </w:r>
    </w:p>
    <w:p w14:paraId="303DD777" w14:textId="7BE824C2" w:rsidR="001B2021" w:rsidRPr="00654EE0" w:rsidRDefault="001B2021" w:rsidP="00AC052E">
      <w:pPr>
        <w:pStyle w:val="Bullet1"/>
        <w:jc w:val="both"/>
        <w:rPr>
          <w:lang w:val="en"/>
        </w:rPr>
      </w:pPr>
      <w:r w:rsidRPr="00654EE0">
        <w:rPr>
          <w:lang w:val="en"/>
        </w:rPr>
        <w:t xml:space="preserve">promote themselves as a quality </w:t>
      </w:r>
      <w:r w:rsidR="00DE454F">
        <w:rPr>
          <w:lang w:val="en"/>
        </w:rPr>
        <w:t>GTO</w:t>
      </w:r>
      <w:r w:rsidRPr="00654EE0">
        <w:rPr>
          <w:lang w:val="en"/>
        </w:rPr>
        <w:t xml:space="preserve"> </w:t>
      </w:r>
    </w:p>
    <w:p w14:paraId="4F7FB264" w14:textId="6B72D43C" w:rsidR="001B2021" w:rsidRPr="00654EE0" w:rsidRDefault="001B2021" w:rsidP="00AC052E">
      <w:pPr>
        <w:pStyle w:val="Bullet1"/>
        <w:jc w:val="both"/>
        <w:rPr>
          <w:lang w:val="en"/>
        </w:rPr>
      </w:pPr>
      <w:r w:rsidRPr="00654EE0">
        <w:rPr>
          <w:lang w:val="en"/>
        </w:rPr>
        <w:t>u</w:t>
      </w:r>
      <w:r w:rsidR="00DE454F">
        <w:rPr>
          <w:lang w:val="en"/>
        </w:rPr>
        <w:t>se</w:t>
      </w:r>
      <w:r w:rsidRPr="00654EE0">
        <w:rPr>
          <w:lang w:val="en"/>
        </w:rPr>
        <w:t xml:space="preserve"> the national</w:t>
      </w:r>
      <w:r w:rsidR="00DE454F">
        <w:rPr>
          <w:lang w:val="en"/>
        </w:rPr>
        <w:t xml:space="preserve"> GTO</w:t>
      </w:r>
      <w:r w:rsidRPr="00654EE0">
        <w:rPr>
          <w:lang w:val="en"/>
        </w:rPr>
        <w:t xml:space="preserve"> logo</w:t>
      </w:r>
    </w:p>
    <w:p w14:paraId="70EB8F13" w14:textId="77777777" w:rsidR="001B2021" w:rsidRPr="00654EE0" w:rsidRDefault="001B2021" w:rsidP="00AC052E">
      <w:pPr>
        <w:pStyle w:val="Bullet1"/>
        <w:ind w:left="357" w:hanging="357"/>
        <w:jc w:val="both"/>
      </w:pPr>
      <w:proofErr w:type="gramStart"/>
      <w:r w:rsidRPr="00654EE0">
        <w:rPr>
          <w:lang w:val="en"/>
        </w:rPr>
        <w:t>access</w:t>
      </w:r>
      <w:proofErr w:type="gramEnd"/>
      <w:r w:rsidRPr="00654EE0">
        <w:rPr>
          <w:lang w:val="en"/>
        </w:rPr>
        <w:t xml:space="preserve"> Commonwealth and State and Territory government programs and incentives only available to registered GTOs.</w:t>
      </w:r>
    </w:p>
    <w:p w14:paraId="17DCC98F" w14:textId="77777777" w:rsidR="003B3461" w:rsidRDefault="003A6FBE" w:rsidP="00AC052E">
      <w:pPr>
        <w:spacing w:before="120"/>
        <w:jc w:val="both"/>
      </w:pPr>
      <w:r w:rsidRPr="00D60DC0">
        <w:t xml:space="preserve">GTO registration and compliance monitoring is managed by each state or territory. </w:t>
      </w:r>
      <w:r w:rsidR="003B3461">
        <w:t>Registration is managed via a</w:t>
      </w:r>
      <w:r w:rsidR="00355963">
        <w:t>n</w:t>
      </w:r>
      <w:r w:rsidR="003B3461">
        <w:t xml:space="preserve"> </w:t>
      </w:r>
      <w:r w:rsidR="00355963">
        <w:t>application process.</w:t>
      </w:r>
    </w:p>
    <w:p w14:paraId="0C2D3DF5" w14:textId="6BAD1659" w:rsidR="00E86A6E" w:rsidRPr="00E86A6E" w:rsidRDefault="008A4E00" w:rsidP="00B373F8">
      <w:pPr>
        <w:jc w:val="both"/>
        <w:rPr>
          <w:rStyle w:val="Strong"/>
        </w:rPr>
      </w:pPr>
      <w:r>
        <w:rPr>
          <w:rStyle w:val="Strong"/>
        </w:rPr>
        <w:t>A</w:t>
      </w:r>
      <w:r w:rsidR="00E86A6E" w:rsidRPr="00E86A6E">
        <w:rPr>
          <w:rStyle w:val="Strong"/>
        </w:rPr>
        <w:t xml:space="preserve">ll employers that </w:t>
      </w:r>
      <w:r w:rsidR="00DE454F">
        <w:rPr>
          <w:rStyle w:val="Strong"/>
        </w:rPr>
        <w:t>seek to identify</w:t>
      </w:r>
      <w:r w:rsidR="00E86A6E" w:rsidRPr="00E86A6E">
        <w:rPr>
          <w:rStyle w:val="Strong"/>
        </w:rPr>
        <w:t xml:space="preserve"> as a GTO employer on a</w:t>
      </w:r>
      <w:r w:rsidR="00A61059">
        <w:rPr>
          <w:rStyle w:val="Strong"/>
        </w:rPr>
        <w:t>n ACT</w:t>
      </w:r>
      <w:r w:rsidR="00E86A6E" w:rsidRPr="00E86A6E">
        <w:rPr>
          <w:rStyle w:val="Strong"/>
        </w:rPr>
        <w:t xml:space="preserve"> Training Contract </w:t>
      </w:r>
      <w:r w:rsidR="00E86A6E">
        <w:rPr>
          <w:rStyle w:val="Strong"/>
        </w:rPr>
        <w:t>are required</w:t>
      </w:r>
      <w:r w:rsidR="00E86A6E" w:rsidRPr="00E86A6E">
        <w:rPr>
          <w:rStyle w:val="Strong"/>
        </w:rPr>
        <w:t xml:space="preserve"> to be </w:t>
      </w:r>
      <w:r w:rsidR="00A61059">
        <w:rPr>
          <w:rStyle w:val="Strong"/>
        </w:rPr>
        <w:t>an ACT registered GTO.</w:t>
      </w:r>
    </w:p>
    <w:p w14:paraId="3EAE8CA9" w14:textId="77777777" w:rsidR="003A6FBE" w:rsidRDefault="00E86A6E" w:rsidP="00D60DC0">
      <w:pPr>
        <w:pStyle w:val="Heading1"/>
      </w:pPr>
      <w:bookmarkStart w:id="9" w:name="_Toc500417251"/>
      <w:r>
        <w:lastRenderedPageBreak/>
        <w:t xml:space="preserve">registration </w:t>
      </w:r>
      <w:r w:rsidR="003A6FBE" w:rsidRPr="00D60DC0">
        <w:t xml:space="preserve">APPLICATION </w:t>
      </w:r>
      <w:r w:rsidR="00116ECE">
        <w:t>process</w:t>
      </w:r>
      <w:bookmarkEnd w:id="9"/>
    </w:p>
    <w:p w14:paraId="49571320" w14:textId="77777777" w:rsidR="00683977" w:rsidRDefault="00683977" w:rsidP="00B373F8">
      <w:pPr>
        <w:spacing w:before="200" w:after="120" w:line="240" w:lineRule="auto"/>
        <w:jc w:val="both"/>
        <w:rPr>
          <w:color w:val="404040"/>
          <w:lang w:val="en"/>
        </w:rPr>
      </w:pPr>
      <w:r w:rsidRPr="006A70BB">
        <w:rPr>
          <w:rFonts w:eastAsia="Times New Roman"/>
          <w:lang w:val="en"/>
        </w:rPr>
        <w:t>To become a</w:t>
      </w:r>
      <w:r>
        <w:rPr>
          <w:rFonts w:eastAsia="Times New Roman"/>
          <w:lang w:val="en"/>
        </w:rPr>
        <w:t>n ACT</w:t>
      </w:r>
      <w:r w:rsidRPr="006A70BB">
        <w:rPr>
          <w:rFonts w:eastAsia="Times New Roman"/>
          <w:lang w:val="en"/>
        </w:rPr>
        <w:t xml:space="preserve"> registered GTO, the organisation</w:t>
      </w:r>
      <w:r>
        <w:rPr>
          <w:color w:val="404040"/>
          <w:lang w:val="en"/>
        </w:rPr>
        <w:t xml:space="preserve"> </w:t>
      </w:r>
      <w:r>
        <w:rPr>
          <w:lang w:val="en"/>
        </w:rPr>
        <w:t>must:</w:t>
      </w:r>
      <w:r w:rsidRPr="006A70BB">
        <w:rPr>
          <w:lang w:val="en"/>
        </w:rPr>
        <w:t xml:space="preserve"> </w:t>
      </w:r>
    </w:p>
    <w:p w14:paraId="2C858366" w14:textId="05AAF9AC" w:rsidR="00683977" w:rsidRDefault="00683977" w:rsidP="00B373F8">
      <w:pPr>
        <w:pStyle w:val="bulletnumbers"/>
        <w:jc w:val="both"/>
        <w:rPr>
          <w:rStyle w:val="file"/>
          <w:rFonts w:cs="Arial"/>
          <w:color w:val="444444"/>
        </w:rPr>
      </w:pPr>
      <w:r w:rsidRPr="006A70BB">
        <w:rPr>
          <w:rFonts w:eastAsia="Times New Roman"/>
          <w:lang w:val="en"/>
        </w:rPr>
        <w:t xml:space="preserve">conduct a self-assessment </w:t>
      </w:r>
      <w:r w:rsidR="00DE454F">
        <w:rPr>
          <w:rFonts w:eastAsia="Times New Roman"/>
          <w:lang w:val="en"/>
        </w:rPr>
        <w:t>against the Standards</w:t>
      </w:r>
    </w:p>
    <w:p w14:paraId="190EB28E" w14:textId="0B38FABA" w:rsidR="00683977" w:rsidRPr="00116ECE" w:rsidRDefault="00683977" w:rsidP="00B373F8">
      <w:pPr>
        <w:pStyle w:val="bulletnumbers"/>
        <w:jc w:val="both"/>
        <w:rPr>
          <w:rFonts w:cs="Arial"/>
          <w:color w:val="444444"/>
        </w:rPr>
      </w:pPr>
      <w:r>
        <w:rPr>
          <w:rFonts w:eastAsia="Times New Roman"/>
          <w:lang w:val="en"/>
        </w:rPr>
        <w:t xml:space="preserve">prepare and submit a </w:t>
      </w:r>
      <w:r w:rsidR="00E072DA">
        <w:rPr>
          <w:rFonts w:eastAsia="Times New Roman"/>
          <w:lang w:val="en"/>
        </w:rPr>
        <w:t xml:space="preserve">Group Training Organisation </w:t>
      </w:r>
      <w:r>
        <w:rPr>
          <w:rFonts w:eastAsia="Times New Roman"/>
          <w:lang w:val="en"/>
        </w:rPr>
        <w:t xml:space="preserve">Application Form, Compliance Assessment Report and other support materials; </w:t>
      </w:r>
    </w:p>
    <w:p w14:paraId="63E4A489" w14:textId="77777777" w:rsidR="00683977" w:rsidRPr="006A70BB" w:rsidRDefault="00683977" w:rsidP="00B373F8">
      <w:pPr>
        <w:pStyle w:val="bulletnumbers"/>
        <w:jc w:val="both"/>
        <w:rPr>
          <w:rFonts w:cs="Arial"/>
          <w:color w:val="444444"/>
        </w:rPr>
      </w:pPr>
      <w:proofErr w:type="gramStart"/>
      <w:r>
        <w:rPr>
          <w:rFonts w:eastAsia="Times New Roman"/>
          <w:lang w:val="en"/>
        </w:rPr>
        <w:t>participate</w:t>
      </w:r>
      <w:proofErr w:type="gramEnd"/>
      <w:r>
        <w:rPr>
          <w:rFonts w:eastAsia="Times New Roman"/>
          <w:lang w:val="en"/>
        </w:rPr>
        <w:t xml:space="preserve"> in a compliance audit conducted by an appointed independent auditor. </w:t>
      </w:r>
    </w:p>
    <w:p w14:paraId="55890963" w14:textId="77777777" w:rsidR="001B2021" w:rsidRDefault="00333950" w:rsidP="00B373F8">
      <w:pPr>
        <w:jc w:val="both"/>
      </w:pPr>
      <w:r>
        <w:t xml:space="preserve">Each of these steps are described </w:t>
      </w:r>
      <w:r w:rsidR="006A26F1">
        <w:t>in the sections below.</w:t>
      </w:r>
    </w:p>
    <w:p w14:paraId="053A1135" w14:textId="77777777" w:rsidR="006A26F1" w:rsidRDefault="005327B4" w:rsidP="005327B4">
      <w:pPr>
        <w:pStyle w:val="Heading4"/>
      </w:pPr>
      <w:bookmarkStart w:id="10" w:name="_Toc500417252"/>
      <w:r>
        <w:t>Self-</w:t>
      </w:r>
      <w:r w:rsidR="006A26F1">
        <w:t>Assessment</w:t>
      </w:r>
      <w:bookmarkEnd w:id="10"/>
    </w:p>
    <w:p w14:paraId="1FB2C37F" w14:textId="77777777" w:rsidR="005327B4" w:rsidRDefault="005327B4" w:rsidP="00B373F8">
      <w:pPr>
        <w:jc w:val="both"/>
      </w:pPr>
      <w:r w:rsidRPr="005327B4">
        <w:rPr>
          <w:rFonts w:eastAsia="Times New Roman"/>
          <w:lang w:val="en"/>
        </w:rPr>
        <w:t xml:space="preserve">GTOs should </w:t>
      </w:r>
      <w:r>
        <w:rPr>
          <w:rFonts w:eastAsia="Times New Roman"/>
          <w:lang w:val="en"/>
        </w:rPr>
        <w:t xml:space="preserve">review </w:t>
      </w:r>
      <w:r w:rsidRPr="006A70BB">
        <w:rPr>
          <w:rFonts w:eastAsia="Times New Roman"/>
          <w:lang w:val="en"/>
        </w:rPr>
        <w:t xml:space="preserve">their </w:t>
      </w:r>
      <w:proofErr w:type="spellStart"/>
      <w:r w:rsidRPr="006A70BB">
        <w:rPr>
          <w:rFonts w:eastAsia="Times New Roman"/>
          <w:lang w:val="en"/>
        </w:rPr>
        <w:t>organisation's</w:t>
      </w:r>
      <w:proofErr w:type="spellEnd"/>
      <w:r w:rsidRPr="006A70BB">
        <w:rPr>
          <w:rFonts w:eastAsia="Times New Roman"/>
          <w:lang w:val="en"/>
        </w:rPr>
        <w:t xml:space="preserve"> systems, processes and services against the</w:t>
      </w:r>
      <w:r w:rsidRPr="006A70BB">
        <w:rPr>
          <w:rFonts w:ascii="Verdana" w:hAnsi="Verdana"/>
          <w:sz w:val="20"/>
          <w:szCs w:val="20"/>
          <w:lang w:val="en"/>
        </w:rPr>
        <w:t xml:space="preserve"> </w:t>
      </w:r>
      <w:r w:rsidRPr="00C07C42">
        <w:rPr>
          <w:rFonts w:cs="Arial"/>
        </w:rPr>
        <w:t>Standards</w:t>
      </w:r>
      <w:r w:rsidRPr="00C07C42">
        <w:t>.</w:t>
      </w:r>
      <w:r w:rsidR="00C07C42">
        <w:t xml:space="preserve"> </w:t>
      </w:r>
      <w:r>
        <w:t xml:space="preserve">The self-assessment will assist the GTO to identify areas of non-compliance or any deficiencies in its operations that need to be rectified prior to completing the Compliance Assessment Report. </w:t>
      </w:r>
    </w:p>
    <w:p w14:paraId="28029D2E" w14:textId="77777777" w:rsidR="00254ADA" w:rsidRPr="005327B4" w:rsidRDefault="00254ADA" w:rsidP="00254ADA">
      <w:pPr>
        <w:pStyle w:val="Heading4"/>
        <w:rPr>
          <w:rStyle w:val="file"/>
        </w:rPr>
      </w:pPr>
      <w:bookmarkStart w:id="11" w:name="_Toc500417253"/>
      <w:r w:rsidRPr="005327B4">
        <w:rPr>
          <w:rStyle w:val="file"/>
        </w:rPr>
        <w:t>Compliance Assessment Report</w:t>
      </w:r>
      <w:bookmarkEnd w:id="11"/>
    </w:p>
    <w:p w14:paraId="0754B07A" w14:textId="77777777" w:rsidR="00254ADA" w:rsidRDefault="00254ADA" w:rsidP="00B373F8">
      <w:pPr>
        <w:jc w:val="both"/>
      </w:pPr>
      <w:r w:rsidRPr="005327B4">
        <w:t>Once the self-assessment</w:t>
      </w:r>
      <w:r>
        <w:t xml:space="preserve"> </w:t>
      </w:r>
      <w:r w:rsidRPr="005327B4">
        <w:t xml:space="preserve">has </w:t>
      </w:r>
      <w:r>
        <w:t xml:space="preserve">been </w:t>
      </w:r>
      <w:r w:rsidRPr="005327B4">
        <w:t xml:space="preserve">completed, and any necessary remedial action </w:t>
      </w:r>
      <w:r>
        <w:t>taken</w:t>
      </w:r>
      <w:r w:rsidRPr="005327B4">
        <w:t>, the</w:t>
      </w:r>
      <w:r>
        <w:t xml:space="preserve"> GTO must</w:t>
      </w:r>
      <w:r w:rsidRPr="005327B4">
        <w:t xml:space="preserve"> prepare a Compliance Assessment Report. The Compliance Assessment Report allows a GTO to identify and record evidence that demonstrates compliance against each of the Standards. Supporting documents, including any employee, host, and/or apprentice/trainee handbooks, should be attached to the Compliance Assessment Report as supporting evidence.</w:t>
      </w:r>
    </w:p>
    <w:p w14:paraId="5702E5BA" w14:textId="0E854CB3" w:rsidR="00254ADA" w:rsidRPr="00116ECE" w:rsidRDefault="00254ADA" w:rsidP="00B373F8">
      <w:pPr>
        <w:shd w:val="clear" w:color="auto" w:fill="FFFFFF"/>
        <w:spacing w:after="120" w:line="240" w:lineRule="auto"/>
        <w:jc w:val="both"/>
        <w:rPr>
          <w:sz w:val="24"/>
        </w:rPr>
      </w:pPr>
      <w:r>
        <w:t xml:space="preserve">The </w:t>
      </w:r>
      <w:hyperlink r:id="rId17" w:history="1">
        <w:r w:rsidRPr="006A70BB">
          <w:rPr>
            <w:rStyle w:val="Hyperlink"/>
            <w:rFonts w:cs="Arial"/>
          </w:rPr>
          <w:t>Evidence Guide for GTOs to Support the National Standards</w:t>
        </w:r>
      </w:hyperlink>
      <w:r w:rsidRPr="00002622">
        <w:t xml:space="preserve"> </w:t>
      </w:r>
      <w:r>
        <w:t xml:space="preserve">(Evidence </w:t>
      </w:r>
      <w:r w:rsidRPr="00002622">
        <w:t>Guide</w:t>
      </w:r>
      <w:r>
        <w:t>)</w:t>
      </w:r>
      <w:r w:rsidRPr="00002622">
        <w:t xml:space="preserve"> provides practical examples of evidence </w:t>
      </w:r>
      <w:r>
        <w:t xml:space="preserve">that may assist </w:t>
      </w:r>
      <w:r w:rsidRPr="00002622">
        <w:t>GTOs show c</w:t>
      </w:r>
      <w:r>
        <w:t>ompliance.</w:t>
      </w:r>
    </w:p>
    <w:p w14:paraId="2533ED42" w14:textId="77777777" w:rsidR="00116ECE" w:rsidRDefault="00116ECE" w:rsidP="000A295D">
      <w:pPr>
        <w:pStyle w:val="Heading4"/>
      </w:pPr>
      <w:bookmarkStart w:id="12" w:name="_Toc500417254"/>
      <w:r>
        <w:t>Application Form</w:t>
      </w:r>
      <w:bookmarkEnd w:id="12"/>
    </w:p>
    <w:p w14:paraId="5421CAE7" w14:textId="7DB867D0" w:rsidR="000A295D" w:rsidRDefault="000A295D" w:rsidP="00B373F8">
      <w:pPr>
        <w:jc w:val="both"/>
      </w:pPr>
      <w:r>
        <w:t xml:space="preserve">Once a GTO has completed the Compliance Assessment Report, they </w:t>
      </w:r>
      <w:r w:rsidR="00A61059">
        <w:t>must</w:t>
      </w:r>
      <w:r>
        <w:t xml:space="preserve"> also complete a </w:t>
      </w:r>
      <w:r w:rsidRPr="00254ADA">
        <w:t>Group Training Organisation Registration</w:t>
      </w:r>
      <w:r w:rsidR="008F0D7F">
        <w:t xml:space="preserve"> </w:t>
      </w:r>
      <w:r w:rsidRPr="00254ADA">
        <w:t>Application Form</w:t>
      </w:r>
      <w:r w:rsidR="00254ADA">
        <w:t xml:space="preserve">. The </w:t>
      </w:r>
      <w:r w:rsidR="00C355BA">
        <w:t>registration application lodgement processes are described in the next section</w:t>
      </w:r>
      <w:r w:rsidR="00F37667">
        <w:t xml:space="preserve"> </w:t>
      </w:r>
      <w:r w:rsidR="00F37667" w:rsidRPr="00C355BA">
        <w:t xml:space="preserve">(refer to </w:t>
      </w:r>
      <w:hyperlink w:anchor="_APPLICATION_LODGEMENT" w:history="1">
        <w:r w:rsidR="00F37667" w:rsidRPr="00C355BA">
          <w:rPr>
            <w:rStyle w:val="Hyperlink"/>
          </w:rPr>
          <w:t>Application Lodgement</w:t>
        </w:r>
      </w:hyperlink>
      <w:r w:rsidR="00F37667" w:rsidRPr="00C355BA">
        <w:t>)</w:t>
      </w:r>
      <w:r w:rsidR="00254ADA" w:rsidRPr="00C355BA">
        <w:t>.</w:t>
      </w:r>
    </w:p>
    <w:p w14:paraId="2F71D629" w14:textId="77777777" w:rsidR="00F37667" w:rsidRDefault="00F37667" w:rsidP="00F37667">
      <w:pPr>
        <w:pStyle w:val="Heading4"/>
      </w:pPr>
      <w:bookmarkStart w:id="13" w:name="_Toc500417255"/>
      <w:r>
        <w:t>Compliance Audit</w:t>
      </w:r>
      <w:bookmarkEnd w:id="13"/>
    </w:p>
    <w:p w14:paraId="3D31BF5B" w14:textId="77777777" w:rsidR="00C07C42" w:rsidRDefault="00F37667" w:rsidP="00B373F8">
      <w:pPr>
        <w:jc w:val="both"/>
      </w:pPr>
      <w:r w:rsidRPr="0082371F">
        <w:t xml:space="preserve">The purpose of </w:t>
      </w:r>
      <w:r>
        <w:t>the</w:t>
      </w:r>
      <w:r w:rsidRPr="0082371F">
        <w:t xml:space="preserve"> compliance audit is to validate </w:t>
      </w:r>
      <w:r>
        <w:t>the GTO’s</w:t>
      </w:r>
      <w:r w:rsidRPr="0082371F">
        <w:t xml:space="preserve"> claim that </w:t>
      </w:r>
      <w:r>
        <w:t>their</w:t>
      </w:r>
      <w:r w:rsidRPr="0082371F">
        <w:t xml:space="preserve"> operational systems and processes meet </w:t>
      </w:r>
      <w:r w:rsidR="00C07C42">
        <w:t xml:space="preserve">each of the </w:t>
      </w:r>
      <w:r w:rsidRPr="0082371F">
        <w:t xml:space="preserve">Standards. </w:t>
      </w:r>
      <w:r>
        <w:t>The GTO</w:t>
      </w:r>
      <w:r w:rsidRPr="0082371F">
        <w:t xml:space="preserve"> will be given reasonable opportunity to demonstrate compliance</w:t>
      </w:r>
      <w:r w:rsidR="00C07C42">
        <w:t xml:space="preserve"> and will received an audit report containing the audit findings</w:t>
      </w:r>
      <w:r w:rsidRPr="0082371F">
        <w:t>.</w:t>
      </w:r>
      <w:r w:rsidR="00C07C42">
        <w:t xml:space="preserve"> </w:t>
      </w:r>
    </w:p>
    <w:p w14:paraId="3886E571" w14:textId="34F5DA37" w:rsidR="00F37667" w:rsidRDefault="00C07C42" w:rsidP="00B373F8">
      <w:pPr>
        <w:jc w:val="both"/>
      </w:pPr>
      <w:r>
        <w:t xml:space="preserve">Information on the audit process and outcomes is described further in this document (refer to </w:t>
      </w:r>
      <w:hyperlink w:anchor="_APPLICATION_ASSESSMENT" w:history="1">
        <w:r w:rsidRPr="00C355BA">
          <w:rPr>
            <w:rStyle w:val="Hyperlink"/>
          </w:rPr>
          <w:t>Application Assessment</w:t>
        </w:r>
      </w:hyperlink>
      <w:r>
        <w:t>)</w:t>
      </w:r>
      <w:r w:rsidR="00F37667">
        <w:t>.</w:t>
      </w:r>
    </w:p>
    <w:p w14:paraId="2A1D02A8" w14:textId="77777777" w:rsidR="003A6FBE" w:rsidRPr="00D60DC0" w:rsidRDefault="003A6FBE" w:rsidP="00D60DC0">
      <w:pPr>
        <w:pStyle w:val="Heading1"/>
      </w:pPr>
      <w:bookmarkStart w:id="14" w:name="_APPLICATION_LODGEMENT"/>
      <w:bookmarkStart w:id="15" w:name="_Toc500417256"/>
      <w:bookmarkEnd w:id="14"/>
      <w:r w:rsidRPr="00D60DC0">
        <w:t>APPLICATION LODGEMENT</w:t>
      </w:r>
      <w:bookmarkEnd w:id="15"/>
      <w:r w:rsidRPr="00D60DC0">
        <w:t xml:space="preserve"> </w:t>
      </w:r>
    </w:p>
    <w:p w14:paraId="7013D956" w14:textId="65CA11EC" w:rsidR="00D85F68" w:rsidRDefault="00333950" w:rsidP="00B373F8">
      <w:pPr>
        <w:jc w:val="both"/>
        <w:rPr>
          <w:szCs w:val="24"/>
        </w:rPr>
      </w:pPr>
      <w:r>
        <w:rPr>
          <w:szCs w:val="24"/>
        </w:rPr>
        <w:t xml:space="preserve">The registration </w:t>
      </w:r>
      <w:r w:rsidR="001013BC">
        <w:rPr>
          <w:szCs w:val="24"/>
        </w:rPr>
        <w:t xml:space="preserve">application </w:t>
      </w:r>
      <w:r w:rsidR="00D85F68">
        <w:rPr>
          <w:szCs w:val="24"/>
        </w:rPr>
        <w:t xml:space="preserve">and </w:t>
      </w:r>
      <w:r w:rsidR="001013BC">
        <w:rPr>
          <w:szCs w:val="24"/>
        </w:rPr>
        <w:t xml:space="preserve">assessment </w:t>
      </w:r>
      <w:r>
        <w:rPr>
          <w:szCs w:val="24"/>
        </w:rPr>
        <w:t>process</w:t>
      </w:r>
      <w:r w:rsidR="00D85F68">
        <w:rPr>
          <w:szCs w:val="24"/>
        </w:rPr>
        <w:t xml:space="preserve"> will vary depending on the location of the GTO. Please ensure you read this section carefully to identify the application lodgement process that must be used.</w:t>
      </w:r>
    </w:p>
    <w:p w14:paraId="35FBC25F" w14:textId="43D90CEC" w:rsidR="00333950" w:rsidRPr="00407FD2" w:rsidRDefault="00407FD2" w:rsidP="00B373F8">
      <w:pPr>
        <w:pStyle w:val="bulletnumbers"/>
        <w:numPr>
          <w:ilvl w:val="0"/>
          <w:numId w:val="45"/>
        </w:numPr>
        <w:jc w:val="both"/>
        <w:rPr>
          <w:rStyle w:val="Strong"/>
        </w:rPr>
      </w:pPr>
      <w:r>
        <w:rPr>
          <w:rStyle w:val="Strong"/>
        </w:rPr>
        <w:t>If you</w:t>
      </w:r>
      <w:r w:rsidR="00D85F68" w:rsidRPr="00407FD2">
        <w:rPr>
          <w:rStyle w:val="Strong"/>
        </w:rPr>
        <w:t xml:space="preserve"> are:</w:t>
      </w:r>
      <w:r w:rsidR="00333950" w:rsidRPr="00407FD2">
        <w:rPr>
          <w:rStyle w:val="Strong"/>
        </w:rPr>
        <w:t xml:space="preserve"> </w:t>
      </w:r>
    </w:p>
    <w:p w14:paraId="7F10859E" w14:textId="5BCAE2D1" w:rsidR="00D85F68" w:rsidRPr="00AF15C7" w:rsidRDefault="00D85F68" w:rsidP="00B373F8">
      <w:pPr>
        <w:pStyle w:val="Bullet1"/>
        <w:jc w:val="both"/>
        <w:rPr>
          <w:b/>
        </w:rPr>
      </w:pPr>
      <w:r w:rsidRPr="00AF15C7">
        <w:rPr>
          <w:b/>
        </w:rPr>
        <w:t xml:space="preserve">a GTO registered in the ACT only, </w:t>
      </w:r>
      <w:r w:rsidR="00E73300">
        <w:rPr>
          <w:b/>
        </w:rPr>
        <w:t>or</w:t>
      </w:r>
    </w:p>
    <w:p w14:paraId="37E2FAA1" w14:textId="116C585A" w:rsidR="00D85F68" w:rsidRPr="00AF15C7" w:rsidRDefault="00D85F68" w:rsidP="00B373F8">
      <w:pPr>
        <w:pStyle w:val="Bullet1"/>
        <w:jc w:val="both"/>
        <w:rPr>
          <w:b/>
        </w:rPr>
      </w:pPr>
      <w:r w:rsidRPr="00AF15C7">
        <w:rPr>
          <w:b/>
        </w:rPr>
        <w:t>not currently registered as a GTO and seeking to register to operate in the ACT</w:t>
      </w:r>
      <w:r w:rsidR="00E73300">
        <w:rPr>
          <w:b/>
        </w:rPr>
        <w:t>, or</w:t>
      </w:r>
    </w:p>
    <w:p w14:paraId="703EEA0E" w14:textId="70EBC557" w:rsidR="00D85F68" w:rsidRPr="00AF15C7" w:rsidRDefault="00D85F68" w:rsidP="00B373F8">
      <w:pPr>
        <w:pStyle w:val="Bullet1"/>
        <w:jc w:val="both"/>
        <w:rPr>
          <w:b/>
        </w:rPr>
      </w:pPr>
      <w:r w:rsidRPr="00AF15C7">
        <w:rPr>
          <w:b/>
        </w:rPr>
        <w:t>a GTO not registered in either ACT or NSW but registered in another state or territory,</w:t>
      </w:r>
    </w:p>
    <w:p w14:paraId="38A60868" w14:textId="4AB258C9" w:rsidR="00D85F68" w:rsidRDefault="00B373F8" w:rsidP="00B373F8">
      <w:pPr>
        <w:jc w:val="both"/>
      </w:pPr>
      <w:proofErr w:type="gramStart"/>
      <w:r>
        <w:rPr>
          <w:szCs w:val="24"/>
          <w:lang w:val="en-US"/>
        </w:rPr>
        <w:t>s</w:t>
      </w:r>
      <w:r w:rsidR="00D85F68">
        <w:rPr>
          <w:szCs w:val="24"/>
          <w:lang w:val="en-US"/>
        </w:rPr>
        <w:t>ubmit</w:t>
      </w:r>
      <w:proofErr w:type="gramEnd"/>
      <w:r w:rsidR="00D85F68">
        <w:rPr>
          <w:szCs w:val="24"/>
          <w:lang w:val="en-US"/>
        </w:rPr>
        <w:t xml:space="preserve"> your </w:t>
      </w:r>
      <w:hyperlink r:id="rId18" w:history="1">
        <w:r w:rsidR="00D447E2" w:rsidRPr="00D447E2">
          <w:rPr>
            <w:rStyle w:val="Hyperlink"/>
            <w:szCs w:val="24"/>
            <w:lang w:val="en-US"/>
          </w:rPr>
          <w:t xml:space="preserve">ACT </w:t>
        </w:r>
        <w:r w:rsidR="00D85F68" w:rsidRPr="00D447E2">
          <w:rPr>
            <w:rStyle w:val="Hyperlink"/>
            <w:rFonts w:eastAsia="Times New Roman"/>
            <w:lang w:val="en"/>
          </w:rPr>
          <w:t>Group Training Organisation Application Form</w:t>
        </w:r>
      </w:hyperlink>
      <w:r w:rsidR="00D85F68">
        <w:rPr>
          <w:rFonts w:eastAsia="Times New Roman"/>
          <w:lang w:val="en"/>
        </w:rPr>
        <w:t xml:space="preserve">, completed </w:t>
      </w:r>
      <w:hyperlink r:id="rId19" w:history="1">
        <w:r w:rsidR="00D447E2" w:rsidRPr="00D447E2">
          <w:rPr>
            <w:rStyle w:val="Hyperlink"/>
            <w:rFonts w:eastAsia="Times New Roman"/>
            <w:lang w:val="en"/>
          </w:rPr>
          <w:t xml:space="preserve">ACT GTO </w:t>
        </w:r>
        <w:r w:rsidR="00D85F68" w:rsidRPr="00D447E2">
          <w:rPr>
            <w:rStyle w:val="Hyperlink"/>
            <w:rFonts w:eastAsia="Times New Roman"/>
            <w:lang w:val="en"/>
          </w:rPr>
          <w:t>Compliance Assessment Report</w:t>
        </w:r>
      </w:hyperlink>
      <w:r w:rsidR="00D85F68">
        <w:rPr>
          <w:rFonts w:eastAsia="Times New Roman"/>
          <w:lang w:val="en"/>
        </w:rPr>
        <w:t xml:space="preserve"> and other support materials</w:t>
      </w:r>
      <w:r w:rsidR="00D85F68">
        <w:rPr>
          <w:szCs w:val="24"/>
          <w:lang w:val="en-US"/>
        </w:rPr>
        <w:t xml:space="preserve"> to the ACT (Skills Canberra) using one of the following methods:</w:t>
      </w:r>
    </w:p>
    <w:p w14:paraId="549D5838" w14:textId="77777777" w:rsidR="00D85F68" w:rsidRPr="000D28B9" w:rsidRDefault="00D85F68" w:rsidP="00D447E2">
      <w:pPr>
        <w:spacing w:after="120"/>
        <w:rPr>
          <w:u w:val="single"/>
        </w:rPr>
      </w:pPr>
      <w:r w:rsidRPr="000D28B9">
        <w:lastRenderedPageBreak/>
        <w:t>Email to:</w:t>
      </w:r>
      <w:r w:rsidRPr="000D28B9">
        <w:tab/>
      </w:r>
      <w:r>
        <w:tab/>
      </w:r>
      <w:hyperlink r:id="rId20" w:history="1">
        <w:r w:rsidRPr="000D28B9">
          <w:rPr>
            <w:rStyle w:val="Hyperlink"/>
            <w:rFonts w:cs="Arial"/>
          </w:rPr>
          <w:t>skills@act.gov.au</w:t>
        </w:r>
      </w:hyperlink>
      <w:r w:rsidRPr="000D28B9">
        <w:rPr>
          <w:rFonts w:cs="Arial"/>
        </w:rPr>
        <w:t xml:space="preserve"> </w:t>
      </w:r>
    </w:p>
    <w:p w14:paraId="334E3F66" w14:textId="77777777" w:rsidR="00D85F68" w:rsidRDefault="00D85F68" w:rsidP="00D447E2">
      <w:pPr>
        <w:tabs>
          <w:tab w:val="left" w:pos="1056"/>
        </w:tabs>
        <w:spacing w:after="120"/>
      </w:pPr>
      <w:proofErr w:type="gramStart"/>
      <w:r>
        <w:t>or</w:t>
      </w:r>
      <w:proofErr w:type="gramEnd"/>
      <w:r>
        <w:tab/>
      </w:r>
    </w:p>
    <w:p w14:paraId="5BE30AD6" w14:textId="77777777" w:rsidR="00D85F68" w:rsidRDefault="00D85F68" w:rsidP="00E932AC">
      <w:pPr>
        <w:spacing w:after="0" w:line="240" w:lineRule="auto"/>
      </w:pPr>
      <w:r w:rsidRPr="000D28B9">
        <w:t>Mail to (*):</w:t>
      </w:r>
      <w:r>
        <w:tab/>
      </w:r>
      <w:r>
        <w:tab/>
        <w:t>Skills Canberra</w:t>
      </w:r>
      <w:r>
        <w:tab/>
      </w:r>
    </w:p>
    <w:p w14:paraId="3023AB54" w14:textId="77777777" w:rsidR="00D85F68" w:rsidRDefault="00D85F68" w:rsidP="00D85F68">
      <w:pPr>
        <w:spacing w:after="0" w:line="240" w:lineRule="auto"/>
        <w:ind w:left="1701"/>
      </w:pPr>
      <w:r>
        <w:t>Chief Minister, Treasury and Economic Development Directorate</w:t>
      </w:r>
    </w:p>
    <w:p w14:paraId="63708B75" w14:textId="77777777" w:rsidR="00D85F68" w:rsidRDefault="00D85F68" w:rsidP="00D85F68">
      <w:pPr>
        <w:spacing w:after="0" w:line="240" w:lineRule="auto"/>
        <w:ind w:left="1701"/>
      </w:pPr>
      <w:r w:rsidRPr="00AA2AC5">
        <w:t xml:space="preserve">GPO Box 158 </w:t>
      </w:r>
    </w:p>
    <w:p w14:paraId="6FA2EE74" w14:textId="77777777" w:rsidR="00D85F68" w:rsidRPr="000D28B9" w:rsidRDefault="00D85F68" w:rsidP="00D85F68">
      <w:pPr>
        <w:ind w:left="1701"/>
      </w:pPr>
      <w:r w:rsidRPr="00AA2AC5">
        <w:t>Canberra ACT 2601</w:t>
      </w:r>
    </w:p>
    <w:p w14:paraId="58A2C802" w14:textId="77777777" w:rsidR="00D85F68" w:rsidRDefault="00D85F68" w:rsidP="00C62C7A">
      <w:pPr>
        <w:pStyle w:val="Note"/>
        <w:rPr>
          <w:szCs w:val="24"/>
        </w:rPr>
      </w:pPr>
      <w:r>
        <w:t>(*) For applications lodged by mail, GTOs must also include a USB with an accessible electronic version of all documents.</w:t>
      </w:r>
    </w:p>
    <w:p w14:paraId="77DFD5E8" w14:textId="77777777" w:rsidR="00D85F68" w:rsidRPr="00D447E2" w:rsidRDefault="00D85F68" w:rsidP="00D447E2">
      <w:pPr>
        <w:pStyle w:val="bulletnumbers"/>
        <w:rPr>
          <w:b/>
        </w:rPr>
      </w:pPr>
      <w:r w:rsidRPr="00D447E2">
        <w:rPr>
          <w:b/>
        </w:rPr>
        <w:t>If you are:</w:t>
      </w:r>
    </w:p>
    <w:p w14:paraId="611E15AC" w14:textId="7ED56684" w:rsidR="00D85F68" w:rsidRPr="00AF15C7" w:rsidRDefault="00D85F68" w:rsidP="00B373F8">
      <w:pPr>
        <w:pStyle w:val="Bullet1"/>
        <w:jc w:val="both"/>
        <w:rPr>
          <w:b/>
          <w:szCs w:val="24"/>
        </w:rPr>
      </w:pPr>
      <w:r w:rsidRPr="00AF15C7">
        <w:rPr>
          <w:b/>
        </w:rPr>
        <w:t xml:space="preserve">a GTO that </w:t>
      </w:r>
      <w:r w:rsidRPr="00AF15C7">
        <w:rPr>
          <w:b/>
          <w:u w:val="single"/>
        </w:rPr>
        <w:t>is</w:t>
      </w:r>
      <w:r w:rsidRPr="00AF15C7">
        <w:rPr>
          <w:b/>
        </w:rPr>
        <w:t xml:space="preserve"> registered in both ACT and NSW</w:t>
      </w:r>
      <w:r w:rsidR="00E73300">
        <w:rPr>
          <w:b/>
        </w:rPr>
        <w:t>, or</w:t>
      </w:r>
    </w:p>
    <w:p w14:paraId="5A325301" w14:textId="6F05F963" w:rsidR="00D85F68" w:rsidRPr="00AF15C7" w:rsidRDefault="00D85F68" w:rsidP="00B373F8">
      <w:pPr>
        <w:pStyle w:val="Bullet1"/>
        <w:spacing w:after="200" w:line="250" w:lineRule="exact"/>
        <w:ind w:left="357" w:hanging="357"/>
        <w:jc w:val="both"/>
        <w:rPr>
          <w:b/>
          <w:szCs w:val="24"/>
        </w:rPr>
      </w:pPr>
      <w:r w:rsidRPr="00AF15C7">
        <w:rPr>
          <w:b/>
        </w:rPr>
        <w:t>not current</w:t>
      </w:r>
      <w:r w:rsidR="00D447E2" w:rsidRPr="00AF15C7">
        <w:rPr>
          <w:b/>
        </w:rPr>
        <w:t>ly</w:t>
      </w:r>
      <w:r w:rsidRPr="00AF15C7">
        <w:rPr>
          <w:b/>
        </w:rPr>
        <w:t xml:space="preserve"> registered as a GTO and seeking to register to operate in both ACT and NSW</w:t>
      </w:r>
    </w:p>
    <w:p w14:paraId="57A7404D" w14:textId="0948ECB0" w:rsidR="00D85F68" w:rsidRPr="00CC355D" w:rsidRDefault="00B373F8" w:rsidP="007A382E">
      <w:pPr>
        <w:jc w:val="both"/>
      </w:pPr>
      <w:proofErr w:type="gramStart"/>
      <w:r>
        <w:t>t</w:t>
      </w:r>
      <w:r w:rsidR="00D85F68" w:rsidRPr="00CC355D">
        <w:t>he</w:t>
      </w:r>
      <w:proofErr w:type="gramEnd"/>
      <w:r w:rsidR="00D85F68" w:rsidRPr="00CC355D">
        <w:t xml:space="preserve"> ACT has entered into a Joint Memorandum of Understandin</w:t>
      </w:r>
      <w:r w:rsidR="00D85F68">
        <w:t>g (MoU) with the NSW Government</w:t>
      </w:r>
      <w:r w:rsidR="00D85F68" w:rsidRPr="00CC355D">
        <w:t xml:space="preserve">. The MoU establishes a joint registration process for GTOs operating in both jurisdictions. Effectively, the MoU will facilitate </w:t>
      </w:r>
      <w:r w:rsidR="00D85F68">
        <w:t>a simplified</w:t>
      </w:r>
      <w:r w:rsidR="00D85F68" w:rsidRPr="00CC355D">
        <w:t xml:space="preserve"> registration process for GTOs operating in both NSW and ACT, allowing the registration process to be administered by one jurisdiction, rather than by </w:t>
      </w:r>
      <w:r w:rsidR="00D85F68">
        <w:t>both</w:t>
      </w:r>
      <w:r w:rsidR="00D85F68" w:rsidRPr="00CC355D">
        <w:t>.</w:t>
      </w:r>
    </w:p>
    <w:p w14:paraId="7B504710" w14:textId="3704E5C5" w:rsidR="00E04B06" w:rsidRDefault="00374747" w:rsidP="00B373F8">
      <w:pPr>
        <w:jc w:val="both"/>
      </w:pPr>
      <w:r>
        <w:t xml:space="preserve">A separate </w:t>
      </w:r>
      <w:r w:rsidRPr="00C524E2">
        <w:rPr>
          <w:rFonts w:eastAsia="Times New Roman"/>
          <w:lang w:val="en"/>
        </w:rPr>
        <w:t>Group Training Organisation Application Form</w:t>
      </w:r>
      <w:r>
        <w:t xml:space="preserve"> must be submitted for NSW </w:t>
      </w:r>
      <w:r w:rsidR="00B373F8">
        <w:t>(</w:t>
      </w:r>
      <w:hyperlink r:id="rId21" w:history="1">
        <w:r w:rsidR="00B373F8" w:rsidRPr="00B373F8">
          <w:rPr>
            <w:rStyle w:val="Hyperlink"/>
          </w:rPr>
          <w:t>NSW Group Training Organisation Application Form</w:t>
        </w:r>
      </w:hyperlink>
      <w:r w:rsidR="00B373F8">
        <w:t xml:space="preserve">) </w:t>
      </w:r>
      <w:r>
        <w:t xml:space="preserve">and ACT </w:t>
      </w:r>
      <w:r w:rsidR="00B373F8">
        <w:t>(</w:t>
      </w:r>
      <w:hyperlink r:id="rId22" w:history="1">
        <w:r w:rsidR="00B373F8" w:rsidRPr="00D447E2">
          <w:rPr>
            <w:rStyle w:val="Hyperlink"/>
            <w:szCs w:val="24"/>
            <w:lang w:val="en-US"/>
          </w:rPr>
          <w:t xml:space="preserve">ACT </w:t>
        </w:r>
        <w:r w:rsidR="00B373F8" w:rsidRPr="00D447E2">
          <w:rPr>
            <w:rStyle w:val="Hyperlink"/>
            <w:rFonts w:eastAsia="Times New Roman"/>
            <w:lang w:val="en"/>
          </w:rPr>
          <w:t>Group Training Organisation Application Form</w:t>
        </w:r>
      </w:hyperlink>
      <w:r w:rsidR="00B373F8">
        <w:rPr>
          <w:szCs w:val="24"/>
          <w:lang w:val="en-US"/>
        </w:rPr>
        <w:t xml:space="preserve">) </w:t>
      </w:r>
      <w:r>
        <w:t xml:space="preserve">to establish registration in both locations. </w:t>
      </w:r>
      <w:r w:rsidR="00E04B06">
        <w:t xml:space="preserve">However, only the </w:t>
      </w:r>
      <w:hyperlink r:id="rId23" w:history="1">
        <w:r w:rsidR="00E04B06" w:rsidRPr="00B373F8">
          <w:rPr>
            <w:rStyle w:val="Hyperlink"/>
            <w:rFonts w:eastAsia="Times New Roman"/>
            <w:lang w:val="en"/>
          </w:rPr>
          <w:t xml:space="preserve">NSW </w:t>
        </w:r>
        <w:r w:rsidR="00E04B06">
          <w:rPr>
            <w:rStyle w:val="Hyperlink"/>
            <w:rFonts w:eastAsia="Times New Roman"/>
            <w:lang w:val="en"/>
          </w:rPr>
          <w:t xml:space="preserve">GTO </w:t>
        </w:r>
        <w:r w:rsidR="00E04B06" w:rsidRPr="00B373F8">
          <w:rPr>
            <w:rStyle w:val="Hyperlink"/>
            <w:rFonts w:eastAsia="Times New Roman"/>
            <w:lang w:val="en"/>
          </w:rPr>
          <w:t>Compliance Assessment Report</w:t>
        </w:r>
      </w:hyperlink>
      <w:r w:rsidR="00E04B06">
        <w:rPr>
          <w:rFonts w:eastAsia="Times New Roman"/>
          <w:lang w:val="en"/>
        </w:rPr>
        <w:t xml:space="preserve"> is required.</w:t>
      </w:r>
    </w:p>
    <w:p w14:paraId="465ABC3D" w14:textId="42C5F415" w:rsidR="00D85F68" w:rsidRDefault="00B373F8" w:rsidP="00B373F8">
      <w:pPr>
        <w:jc w:val="both"/>
      </w:pPr>
      <w:r>
        <w:rPr>
          <w:rFonts w:eastAsia="Times New Roman"/>
          <w:lang w:val="en"/>
        </w:rPr>
        <w:t xml:space="preserve">Please submit both application forms, the </w:t>
      </w:r>
      <w:r w:rsidR="00E04B06">
        <w:rPr>
          <w:rFonts w:eastAsia="Times New Roman"/>
          <w:lang w:val="en"/>
        </w:rPr>
        <w:t xml:space="preserve">completed </w:t>
      </w:r>
      <w:r w:rsidR="00C62C7A">
        <w:rPr>
          <w:rFonts w:eastAsia="Times New Roman"/>
          <w:lang w:val="en"/>
        </w:rPr>
        <w:t xml:space="preserve">NSW GTO </w:t>
      </w:r>
      <w:r w:rsidR="00E04B06">
        <w:rPr>
          <w:rFonts w:eastAsia="Times New Roman"/>
          <w:lang w:val="en"/>
        </w:rPr>
        <w:t xml:space="preserve">Compliance Assessment Report </w:t>
      </w:r>
      <w:r w:rsidR="00C62C7A">
        <w:rPr>
          <w:rFonts w:eastAsia="Times New Roman"/>
          <w:lang w:val="en"/>
        </w:rPr>
        <w:t xml:space="preserve">and other support </w:t>
      </w:r>
      <w:r w:rsidR="00D85F68" w:rsidRPr="00C524E2">
        <w:rPr>
          <w:rFonts w:eastAsia="Times New Roman"/>
          <w:lang w:val="en"/>
        </w:rPr>
        <w:t>materials</w:t>
      </w:r>
      <w:r w:rsidR="00D85F68" w:rsidRPr="00C524E2">
        <w:rPr>
          <w:szCs w:val="24"/>
          <w:lang w:val="en-US"/>
        </w:rPr>
        <w:t xml:space="preserve"> to NSW (Training Services NSW) using one of the following methods:</w:t>
      </w:r>
    </w:p>
    <w:p w14:paraId="21F44A14" w14:textId="77777777" w:rsidR="00D85F68" w:rsidRPr="00C524E2" w:rsidRDefault="00D85F68" w:rsidP="00D447E2">
      <w:pPr>
        <w:spacing w:after="120"/>
        <w:rPr>
          <w:rFonts w:ascii="Arial" w:hAnsi="Arial" w:cs="Arial"/>
          <w:sz w:val="22"/>
        </w:rPr>
      </w:pPr>
      <w:r w:rsidRPr="000D28B9">
        <w:t>Email to:</w:t>
      </w:r>
      <w:r w:rsidRPr="000D28B9">
        <w:tab/>
      </w:r>
      <w:r>
        <w:tab/>
      </w:r>
      <w:hyperlink r:id="rId24" w:history="1">
        <w:r w:rsidRPr="00C524E2">
          <w:rPr>
            <w:rStyle w:val="Hyperlink"/>
            <w:rFonts w:cs="Arial"/>
          </w:rPr>
          <w:t>group.training@industry.nsw.gov.au</w:t>
        </w:r>
      </w:hyperlink>
    </w:p>
    <w:p w14:paraId="33CA938B" w14:textId="77777777" w:rsidR="00D85F68" w:rsidRPr="00C524E2" w:rsidRDefault="00D85F68" w:rsidP="00D447E2">
      <w:pPr>
        <w:spacing w:after="120"/>
        <w:rPr>
          <w:u w:val="single"/>
        </w:rPr>
      </w:pPr>
      <w:proofErr w:type="gramStart"/>
      <w:r w:rsidRPr="00C524E2">
        <w:rPr>
          <w:rFonts w:cs="Arial"/>
        </w:rPr>
        <w:t>or</w:t>
      </w:r>
      <w:proofErr w:type="gramEnd"/>
    </w:p>
    <w:p w14:paraId="7D8B10C3" w14:textId="77777777" w:rsidR="00D85F68" w:rsidRPr="00846695" w:rsidRDefault="00D85F68" w:rsidP="00E932AC">
      <w:pPr>
        <w:spacing w:after="0" w:line="240" w:lineRule="auto"/>
      </w:pPr>
      <w:r w:rsidRPr="000D28B9">
        <w:t>Mail to (*):</w:t>
      </w:r>
      <w:r>
        <w:tab/>
      </w:r>
      <w:r>
        <w:tab/>
      </w:r>
      <w:r w:rsidRPr="00846695">
        <w:t>Apprenticeship &amp; Traineeship Unit</w:t>
      </w:r>
    </w:p>
    <w:p w14:paraId="5B0EFDCD" w14:textId="77777777" w:rsidR="00D85F68" w:rsidRPr="00846695" w:rsidRDefault="00D85F68" w:rsidP="00E932AC">
      <w:pPr>
        <w:spacing w:after="0" w:line="240" w:lineRule="auto"/>
        <w:ind w:left="1701"/>
      </w:pPr>
      <w:r w:rsidRPr="00846695">
        <w:t>Department of Industry</w:t>
      </w:r>
    </w:p>
    <w:p w14:paraId="692B9024" w14:textId="77777777" w:rsidR="00D85F68" w:rsidRPr="00846695" w:rsidRDefault="00D85F68" w:rsidP="00E932AC">
      <w:pPr>
        <w:spacing w:after="0" w:line="240" w:lineRule="auto"/>
        <w:ind w:left="1701"/>
      </w:pPr>
      <w:r w:rsidRPr="00846695">
        <w:t>PO Box 960</w:t>
      </w:r>
    </w:p>
    <w:p w14:paraId="474599C8" w14:textId="77777777" w:rsidR="00D85F68" w:rsidRPr="00846695" w:rsidRDefault="00D85F68" w:rsidP="00E932AC">
      <w:pPr>
        <w:ind w:left="1701"/>
      </w:pPr>
      <w:r w:rsidRPr="00846695">
        <w:t>Darlinghurst   NSW   1300</w:t>
      </w:r>
    </w:p>
    <w:p w14:paraId="226EC18E" w14:textId="77777777" w:rsidR="00E932AC" w:rsidRDefault="00D85F68" w:rsidP="00D85F68">
      <w:pPr>
        <w:pStyle w:val="Note"/>
      </w:pPr>
      <w:r>
        <w:t xml:space="preserve">(*) For applications lodged by mail, GTOs must also include a USB with an accessible electronic version of all documents. </w:t>
      </w:r>
    </w:p>
    <w:p w14:paraId="090F7327" w14:textId="77777777" w:rsidR="001F6B30" w:rsidRDefault="00E932AC" w:rsidP="00E932AC">
      <w:pPr>
        <w:rPr>
          <w:lang w:val="en"/>
        </w:rPr>
      </w:pPr>
      <w:r>
        <w:rPr>
          <w:lang w:val="en"/>
        </w:rPr>
        <w:t xml:space="preserve">A $1500.00 deposit is required to be paid upon application </w:t>
      </w:r>
      <w:proofErr w:type="spellStart"/>
      <w:r>
        <w:rPr>
          <w:lang w:val="en"/>
        </w:rPr>
        <w:t>lodgement</w:t>
      </w:r>
      <w:proofErr w:type="spellEnd"/>
      <w:r w:rsidR="00C62C7A">
        <w:rPr>
          <w:lang w:val="en"/>
        </w:rPr>
        <w:t xml:space="preserve"> and must be received prior to the commencement of the application </w:t>
      </w:r>
      <w:r w:rsidR="001F6B30">
        <w:rPr>
          <w:lang w:val="en"/>
        </w:rPr>
        <w:t xml:space="preserve">assessment. For details about payment methods please contact the office where your application will be lodged. </w:t>
      </w:r>
    </w:p>
    <w:p w14:paraId="54296C4A" w14:textId="30C149CE" w:rsidR="00D85F68" w:rsidRDefault="00E932AC" w:rsidP="00E932AC">
      <w:pPr>
        <w:rPr>
          <w:lang w:val="en"/>
        </w:rPr>
      </w:pPr>
      <w:r>
        <w:rPr>
          <w:lang w:val="en"/>
        </w:rPr>
        <w:t>T</w:t>
      </w:r>
      <w:r w:rsidRPr="00E932AC">
        <w:rPr>
          <w:lang w:val="en"/>
        </w:rPr>
        <w:t xml:space="preserve">he </w:t>
      </w:r>
      <w:r>
        <w:rPr>
          <w:lang w:val="en"/>
        </w:rPr>
        <w:t xml:space="preserve">cost associated with GTO </w:t>
      </w:r>
      <w:r w:rsidRPr="00E932AC">
        <w:rPr>
          <w:lang w:val="en"/>
        </w:rPr>
        <w:t xml:space="preserve">registration </w:t>
      </w:r>
      <w:r>
        <w:rPr>
          <w:lang w:val="en"/>
        </w:rPr>
        <w:t xml:space="preserve">is </w:t>
      </w:r>
      <w:r w:rsidR="00C62C7A">
        <w:t>described further in this document (refer to</w:t>
      </w:r>
      <w:r w:rsidR="00C62C7A">
        <w:rPr>
          <w:lang w:val="en"/>
        </w:rPr>
        <w:t xml:space="preserve"> </w:t>
      </w:r>
      <w:hyperlink w:anchor="_Cost_of_GTO" w:history="1">
        <w:r w:rsidR="00C62C7A" w:rsidRPr="00C62C7A">
          <w:rPr>
            <w:rStyle w:val="Hyperlink"/>
            <w:lang w:val="en"/>
          </w:rPr>
          <w:t>Cost of GTO Registration</w:t>
        </w:r>
      </w:hyperlink>
      <w:r w:rsidR="00C62C7A">
        <w:rPr>
          <w:lang w:val="en"/>
        </w:rPr>
        <w:t>).</w:t>
      </w:r>
    </w:p>
    <w:p w14:paraId="21FFD756" w14:textId="77777777" w:rsidR="007A382E" w:rsidRDefault="004840D8" w:rsidP="00AF15C7">
      <w:pPr>
        <w:pStyle w:val="bulletnumbers"/>
        <w:spacing w:after="0"/>
      </w:pPr>
      <w:r w:rsidRPr="00AF15C7">
        <w:rPr>
          <w:b/>
        </w:rPr>
        <w:t>If you are</w:t>
      </w:r>
      <w:r w:rsidR="007A382E" w:rsidRPr="00AF15C7">
        <w:rPr>
          <w:b/>
        </w:rPr>
        <w:t xml:space="preserve"> </w:t>
      </w:r>
      <w:r w:rsidRPr="00AF15C7">
        <w:rPr>
          <w:b/>
        </w:rPr>
        <w:t>a GTO that is currently registered in NSW and are seeking to register to operate in the ACT</w:t>
      </w:r>
      <w:r w:rsidR="007A382E">
        <w:t xml:space="preserve"> </w:t>
      </w:r>
    </w:p>
    <w:p w14:paraId="40AB1F77" w14:textId="77777777" w:rsidR="007A382E" w:rsidRDefault="007A382E" w:rsidP="00AF15C7">
      <w:pPr>
        <w:pStyle w:val="bulletnumbers"/>
        <w:numPr>
          <w:ilvl w:val="0"/>
          <w:numId w:val="0"/>
        </w:numPr>
        <w:spacing w:after="0"/>
      </w:pPr>
    </w:p>
    <w:p w14:paraId="40746FAA" w14:textId="22F0FEB6" w:rsidR="004840D8" w:rsidRDefault="004840D8" w:rsidP="00AF15C7">
      <w:pPr>
        <w:pStyle w:val="bulletnumbers"/>
        <w:numPr>
          <w:ilvl w:val="0"/>
          <w:numId w:val="0"/>
        </w:numPr>
        <w:spacing w:after="0"/>
      </w:pPr>
      <w:proofErr w:type="gramStart"/>
      <w:r>
        <w:t>the</w:t>
      </w:r>
      <w:proofErr w:type="gramEnd"/>
      <w:r>
        <w:t xml:space="preserve"> </w:t>
      </w:r>
      <w:r w:rsidR="007A382E">
        <w:t>NSW-ACT Joint Memorandum of Understanding (</w:t>
      </w:r>
      <w:r>
        <w:t>MoU</w:t>
      </w:r>
      <w:r w:rsidR="007A382E">
        <w:t>)</w:t>
      </w:r>
      <w:r>
        <w:t xml:space="preserve"> establishe</w:t>
      </w:r>
      <w:r w:rsidR="007A382E">
        <w:t>s</w:t>
      </w:r>
      <w:r>
        <w:t xml:space="preserve"> a process for the ACT to mutually recognise </w:t>
      </w:r>
      <w:r w:rsidR="00E73300">
        <w:t>a</w:t>
      </w:r>
      <w:r w:rsidR="00DE6B0B">
        <w:t xml:space="preserve"> GTO’s</w:t>
      </w:r>
      <w:r>
        <w:t xml:space="preserve"> NSW registration.</w:t>
      </w:r>
    </w:p>
    <w:p w14:paraId="438C7D81" w14:textId="77777777" w:rsidR="007A382E" w:rsidRDefault="007A382E" w:rsidP="00AF15C7">
      <w:pPr>
        <w:pStyle w:val="bulletnumbers"/>
        <w:numPr>
          <w:ilvl w:val="0"/>
          <w:numId w:val="0"/>
        </w:numPr>
        <w:spacing w:after="0"/>
      </w:pPr>
    </w:p>
    <w:p w14:paraId="71B624D1" w14:textId="2CC2F249" w:rsidR="004840D8" w:rsidRDefault="004840D8" w:rsidP="00AF15C7">
      <w:pPr>
        <w:pStyle w:val="bulletnumbers"/>
        <w:numPr>
          <w:ilvl w:val="0"/>
          <w:numId w:val="0"/>
        </w:numPr>
        <w:spacing w:after="0"/>
      </w:pPr>
      <w:r>
        <w:t xml:space="preserve">Please submit the </w:t>
      </w:r>
      <w:hyperlink r:id="rId25" w:history="1">
        <w:r w:rsidRPr="00E73300">
          <w:rPr>
            <w:rStyle w:val="Hyperlink"/>
          </w:rPr>
          <w:t>ACT Group Tra</w:t>
        </w:r>
        <w:r w:rsidR="00E73300" w:rsidRPr="00E73300">
          <w:rPr>
            <w:rStyle w:val="Hyperlink"/>
          </w:rPr>
          <w:t>ining Organisation Application F</w:t>
        </w:r>
        <w:r w:rsidRPr="00E73300">
          <w:rPr>
            <w:rStyle w:val="Hyperlink"/>
          </w:rPr>
          <w:t>orm</w:t>
        </w:r>
      </w:hyperlink>
      <w:r>
        <w:t xml:space="preserve"> </w:t>
      </w:r>
      <w:r w:rsidR="00DE6B0B">
        <w:t>to</w:t>
      </w:r>
      <w:r w:rsidR="007A382E">
        <w:t xml:space="preserve"> the</w:t>
      </w:r>
      <w:r w:rsidR="00DE6B0B">
        <w:t xml:space="preserve"> ACT (Skills Can</w:t>
      </w:r>
      <w:r w:rsidR="007A382E">
        <w:t xml:space="preserve">berra) using one of the methods identified under point 1. </w:t>
      </w:r>
    </w:p>
    <w:p w14:paraId="6FA08CAC" w14:textId="77777777" w:rsidR="007A382E" w:rsidRDefault="007A382E" w:rsidP="00AF15C7">
      <w:pPr>
        <w:pStyle w:val="bulletnumbers"/>
        <w:numPr>
          <w:ilvl w:val="0"/>
          <w:numId w:val="0"/>
        </w:numPr>
        <w:spacing w:after="0"/>
      </w:pPr>
    </w:p>
    <w:p w14:paraId="4E23D653" w14:textId="5EDA7C0A" w:rsidR="007A382E" w:rsidRPr="00E932AC" w:rsidRDefault="007A382E" w:rsidP="00AF15C7">
      <w:pPr>
        <w:pStyle w:val="bulletnumbers"/>
        <w:numPr>
          <w:ilvl w:val="0"/>
          <w:numId w:val="0"/>
        </w:numPr>
        <w:spacing w:after="0"/>
      </w:pPr>
      <w:r>
        <w:t>Skills Canberra will seek confirmation of NSW GTO registration from Training Services NSW prior to approving ACT GTO registration.</w:t>
      </w:r>
      <w:r w:rsidR="00E73300">
        <w:t xml:space="preserve"> The Application Assessment section in this document will not apply.</w:t>
      </w:r>
    </w:p>
    <w:p w14:paraId="5B8078E5" w14:textId="4DECB488" w:rsidR="003A6FBE" w:rsidRPr="00D60DC0" w:rsidRDefault="003A6FBE" w:rsidP="00D60DC0">
      <w:pPr>
        <w:pStyle w:val="Heading1"/>
      </w:pPr>
      <w:bookmarkStart w:id="16" w:name="_APPLICATION_ASSESSMENT"/>
      <w:bookmarkStart w:id="17" w:name="_Toc500417257"/>
      <w:bookmarkEnd w:id="16"/>
      <w:r w:rsidRPr="00D60DC0">
        <w:lastRenderedPageBreak/>
        <w:t>APPLICATION ASSESSMENT</w:t>
      </w:r>
      <w:bookmarkEnd w:id="17"/>
    </w:p>
    <w:p w14:paraId="58DDBFD1" w14:textId="77777777" w:rsidR="00C62C7A" w:rsidRDefault="002507F9" w:rsidP="00E620AE">
      <w:pPr>
        <w:jc w:val="both"/>
      </w:pPr>
      <w:r>
        <w:t xml:space="preserve">Once the </w:t>
      </w:r>
      <w:r w:rsidR="00E072DA">
        <w:t xml:space="preserve">Group Training </w:t>
      </w:r>
      <w:r>
        <w:t>Application Form, completed Compliance Assessment Report and supporting ev</w:t>
      </w:r>
      <w:r w:rsidR="00EF0877">
        <w:t xml:space="preserve">idence and the initial </w:t>
      </w:r>
      <w:r w:rsidR="00212346">
        <w:t xml:space="preserve">deposit </w:t>
      </w:r>
      <w:r w:rsidR="00EF0877">
        <w:t>payment has been received,</w:t>
      </w:r>
      <w:r w:rsidRPr="0082371F">
        <w:t xml:space="preserve"> an </w:t>
      </w:r>
      <w:r w:rsidR="00DA0E8F">
        <w:t xml:space="preserve">external </w:t>
      </w:r>
      <w:r w:rsidRPr="0082371F">
        <w:t xml:space="preserve">auditor </w:t>
      </w:r>
      <w:r w:rsidR="00EF0877">
        <w:t xml:space="preserve">will be assigned </w:t>
      </w:r>
      <w:r>
        <w:t xml:space="preserve">to conduct the compliance audit. </w:t>
      </w:r>
    </w:p>
    <w:p w14:paraId="6AAABF5B" w14:textId="4E14A5EB" w:rsidR="00E620AE" w:rsidRDefault="00A61059" w:rsidP="00E620AE">
      <w:pPr>
        <w:jc w:val="both"/>
      </w:pPr>
      <w:r>
        <w:t>The audit comprises three stages:</w:t>
      </w:r>
    </w:p>
    <w:p w14:paraId="337C01EB" w14:textId="77777777" w:rsidR="00A61059" w:rsidRDefault="00A61059" w:rsidP="00A61059">
      <w:pPr>
        <w:pStyle w:val="bulletnumbers"/>
        <w:numPr>
          <w:ilvl w:val="0"/>
          <w:numId w:val="41"/>
        </w:numPr>
      </w:pPr>
      <w:r>
        <w:t>Desk Audit</w:t>
      </w:r>
    </w:p>
    <w:p w14:paraId="37625183" w14:textId="77777777" w:rsidR="00A61059" w:rsidRPr="00FF5198" w:rsidRDefault="00A61059" w:rsidP="00A61059">
      <w:pPr>
        <w:pStyle w:val="bulletnumbers"/>
      </w:pPr>
      <w:r w:rsidRPr="00FF5198">
        <w:t xml:space="preserve">Interviews with a sample of trainees/apprentices and host employers </w:t>
      </w:r>
    </w:p>
    <w:p w14:paraId="51DDF0D2" w14:textId="77777777" w:rsidR="00A61059" w:rsidRDefault="00A61059" w:rsidP="00A61059">
      <w:pPr>
        <w:pStyle w:val="bulletnumbers"/>
      </w:pPr>
      <w:r>
        <w:t>Site audit</w:t>
      </w:r>
    </w:p>
    <w:p w14:paraId="4A6C8726" w14:textId="635E330B" w:rsidR="00634526" w:rsidRDefault="00634526" w:rsidP="00634526">
      <w:pPr>
        <w:jc w:val="both"/>
      </w:pPr>
      <w:r>
        <w:t xml:space="preserve">The compliance audit will initially be conducted in the same State or Territory where the application form </w:t>
      </w:r>
      <w:r w:rsidR="00147950">
        <w:t>is</w:t>
      </w:r>
      <w:r w:rsidR="00DA0E8F">
        <w:t xml:space="preserve"> lodged</w:t>
      </w:r>
      <w:r>
        <w:t xml:space="preserve">. </w:t>
      </w:r>
    </w:p>
    <w:p w14:paraId="408994FF" w14:textId="23B33A50" w:rsidR="00E620AE" w:rsidRDefault="00787D9C" w:rsidP="00E620AE">
      <w:pPr>
        <w:pStyle w:val="Heading4"/>
      </w:pPr>
      <w:bookmarkStart w:id="18" w:name="_Toc500417258"/>
      <w:r>
        <w:t xml:space="preserve">Compliance </w:t>
      </w:r>
      <w:r w:rsidR="00E620AE">
        <w:t>Audit Process</w:t>
      </w:r>
      <w:bookmarkEnd w:id="18"/>
    </w:p>
    <w:p w14:paraId="7925CC75" w14:textId="77777777" w:rsidR="00E620AE" w:rsidRPr="00A61059" w:rsidRDefault="00E620AE" w:rsidP="00E620AE">
      <w:pPr>
        <w:pStyle w:val="Heading5"/>
      </w:pPr>
      <w:r w:rsidRPr="00A61059">
        <w:t>Desk audit</w:t>
      </w:r>
    </w:p>
    <w:p w14:paraId="3A218BD5" w14:textId="77777777" w:rsidR="00E620AE" w:rsidRDefault="00E620AE" w:rsidP="00CC779E">
      <w:pPr>
        <w:jc w:val="both"/>
      </w:pPr>
      <w:r w:rsidRPr="00A61059">
        <w:t xml:space="preserve">In the first instance, the auditor will review the </w:t>
      </w:r>
      <w:r w:rsidR="00E072DA">
        <w:t xml:space="preserve">Group Training </w:t>
      </w:r>
      <w:r w:rsidRPr="00A61059">
        <w:t>Application Form</w:t>
      </w:r>
      <w:r w:rsidR="00CC779E" w:rsidRPr="00A61059">
        <w:t xml:space="preserve">, </w:t>
      </w:r>
      <w:r w:rsidR="00212346" w:rsidRPr="00A61059">
        <w:t>Compliance Assessment Report</w:t>
      </w:r>
      <w:r w:rsidRPr="00A61059">
        <w:t xml:space="preserve"> and </w:t>
      </w:r>
      <w:r w:rsidR="00212346" w:rsidRPr="00A61059">
        <w:t xml:space="preserve">supporting evidence and </w:t>
      </w:r>
      <w:r w:rsidRPr="00A61059">
        <w:t>determine whether any addition</w:t>
      </w:r>
      <w:r w:rsidR="00212346" w:rsidRPr="00A61059">
        <w:t>al</w:t>
      </w:r>
      <w:r w:rsidRPr="00A61059">
        <w:t xml:space="preserve"> </w:t>
      </w:r>
      <w:r w:rsidR="00212346" w:rsidRPr="00A61059">
        <w:t>information is</w:t>
      </w:r>
      <w:r w:rsidRPr="00A61059">
        <w:t xml:space="preserve"> required before they </w:t>
      </w:r>
      <w:r w:rsidR="00A61059">
        <w:t>commence</w:t>
      </w:r>
      <w:r w:rsidRPr="00A61059">
        <w:t xml:space="preserve"> the audit. Once all necessary </w:t>
      </w:r>
      <w:r w:rsidR="00212346" w:rsidRPr="00A61059">
        <w:t>information is</w:t>
      </w:r>
      <w:r w:rsidRPr="00A61059">
        <w:t xml:space="preserve"> received, the auditor will conduct a desk audit, documenting </w:t>
      </w:r>
      <w:r w:rsidR="00A61059">
        <w:t xml:space="preserve">the initial findings </w:t>
      </w:r>
      <w:r w:rsidRPr="00A61059">
        <w:t>against each of the standards in the Compliance Assessment Report. The auditor may require/request further evidence after reviewing the report.</w:t>
      </w:r>
      <w:r>
        <w:t xml:space="preserve"> </w:t>
      </w:r>
    </w:p>
    <w:p w14:paraId="33FE3070" w14:textId="77777777" w:rsidR="00E620AE" w:rsidRPr="00084055" w:rsidRDefault="00E620AE" w:rsidP="00CC779E">
      <w:pPr>
        <w:pStyle w:val="Heading5"/>
        <w:jc w:val="both"/>
      </w:pPr>
      <w:r w:rsidRPr="00084055">
        <w:t>Interviews with trainees/apprentices and Host Employers</w:t>
      </w:r>
    </w:p>
    <w:p w14:paraId="2FF1D890" w14:textId="7E81CDDB" w:rsidR="001F721D" w:rsidRDefault="00E620AE" w:rsidP="00CC779E">
      <w:pPr>
        <w:jc w:val="both"/>
      </w:pPr>
      <w:r>
        <w:t xml:space="preserve">Prior to the site audit, a sample of the GTO’s trainees/apprentices and host employers </w:t>
      </w:r>
      <w:r w:rsidR="00A61059">
        <w:t>will be interviewed by</w:t>
      </w:r>
      <w:r>
        <w:t xml:space="preserve"> telephone</w:t>
      </w:r>
      <w:r w:rsidR="00AA110E">
        <w:t>, where applicable</w:t>
      </w:r>
      <w:r>
        <w:t xml:space="preserve">. The GTO may be asked to assist with this process by providing up to date contact details. </w:t>
      </w:r>
    </w:p>
    <w:p w14:paraId="6EB88910" w14:textId="73D99DA6" w:rsidR="00AA110E" w:rsidRDefault="00AA110E" w:rsidP="00CC779E">
      <w:pPr>
        <w:jc w:val="both"/>
      </w:pPr>
      <w:r>
        <w:t>Information from the interviews will contribute to the audit findings and may also be used to inform the scope of the audit.</w:t>
      </w:r>
    </w:p>
    <w:p w14:paraId="260041B6" w14:textId="77777777" w:rsidR="00E620AE" w:rsidRDefault="00E620AE" w:rsidP="00CC779E">
      <w:pPr>
        <w:pStyle w:val="Heading5"/>
        <w:jc w:val="both"/>
      </w:pPr>
      <w:r w:rsidRPr="00E620AE">
        <w:t>Site audit</w:t>
      </w:r>
    </w:p>
    <w:p w14:paraId="72E59B29" w14:textId="03F30AC8" w:rsidR="00E620AE" w:rsidRPr="0082371F" w:rsidRDefault="00E620AE" w:rsidP="00CC779E">
      <w:pPr>
        <w:jc w:val="both"/>
      </w:pPr>
      <w:r w:rsidRPr="0082371F">
        <w:t xml:space="preserve">Once the auditor is satisfied with the desk audit, a site audit </w:t>
      </w:r>
      <w:r w:rsidR="00787D9C">
        <w:t xml:space="preserve">at the GTO’s </w:t>
      </w:r>
      <w:r w:rsidR="00787D9C" w:rsidRPr="0082371F">
        <w:t>premises</w:t>
      </w:r>
      <w:r w:rsidR="00787D9C">
        <w:t xml:space="preserve"> </w:t>
      </w:r>
      <w:r>
        <w:t xml:space="preserve">will </w:t>
      </w:r>
      <w:r w:rsidRPr="0082371F">
        <w:t xml:space="preserve">be conducted to validate </w:t>
      </w:r>
      <w:r>
        <w:t>the GTO’s</w:t>
      </w:r>
      <w:r w:rsidRPr="0082371F">
        <w:t xml:space="preserve"> compliance.</w:t>
      </w:r>
      <w:r>
        <w:t xml:space="preserve"> The date of the proposed site audit will be </w:t>
      </w:r>
      <w:r w:rsidR="00787D9C">
        <w:t>confirmed in writing</w:t>
      </w:r>
      <w:r>
        <w:t xml:space="preserve">. The name of the auditor </w:t>
      </w:r>
      <w:r w:rsidR="00787D9C">
        <w:t xml:space="preserve">and audit participants </w:t>
      </w:r>
      <w:r>
        <w:t>will also be confirmed at this time</w:t>
      </w:r>
      <w:r w:rsidR="00787D9C">
        <w:t xml:space="preserve"> (refer </w:t>
      </w:r>
      <w:hyperlink w:anchor="_Audit_Participants" w:history="1">
        <w:r w:rsidR="00787D9C" w:rsidRPr="00AA110E">
          <w:rPr>
            <w:rStyle w:val="Hyperlink"/>
          </w:rPr>
          <w:t>Audit Participants</w:t>
        </w:r>
      </w:hyperlink>
      <w:r w:rsidR="00787D9C">
        <w:t>)</w:t>
      </w:r>
      <w:r>
        <w:t xml:space="preserve">. </w:t>
      </w:r>
      <w:r w:rsidRPr="0082371F">
        <w:t xml:space="preserve"> </w:t>
      </w:r>
    </w:p>
    <w:p w14:paraId="6D7E6F00" w14:textId="61631579" w:rsidR="00E620AE" w:rsidRDefault="00A61059" w:rsidP="00CC779E">
      <w:pPr>
        <w:jc w:val="both"/>
      </w:pPr>
      <w:r>
        <w:t>T</w:t>
      </w:r>
      <w:r w:rsidR="00E620AE" w:rsidRPr="0082371F">
        <w:t xml:space="preserve">he auditor will ask to </w:t>
      </w:r>
      <w:r>
        <w:t xml:space="preserve">see specific </w:t>
      </w:r>
      <w:r w:rsidR="00E620AE" w:rsidRPr="0082371F">
        <w:t xml:space="preserve">evidence of </w:t>
      </w:r>
      <w:r w:rsidR="00E620AE">
        <w:t>the GTO’s</w:t>
      </w:r>
      <w:r w:rsidR="00E620AE" w:rsidRPr="0082371F">
        <w:t xml:space="preserve"> processes. The</w:t>
      </w:r>
      <w:r w:rsidR="00E620AE">
        <w:t xml:space="preserve"> audit team may </w:t>
      </w:r>
      <w:r w:rsidR="00E620AE" w:rsidRPr="0082371F">
        <w:t xml:space="preserve">interview management and staff of </w:t>
      </w:r>
      <w:r w:rsidR="00E620AE">
        <w:t>the GTO</w:t>
      </w:r>
      <w:r w:rsidR="00E620AE" w:rsidRPr="0082371F">
        <w:t>, and</w:t>
      </w:r>
      <w:r>
        <w:t xml:space="preserve"> may also</w:t>
      </w:r>
      <w:r w:rsidR="00E620AE" w:rsidRPr="0082371F">
        <w:t xml:space="preserve"> inspect </w:t>
      </w:r>
      <w:r w:rsidR="00E620AE">
        <w:t>the</w:t>
      </w:r>
      <w:r w:rsidR="00E620AE" w:rsidRPr="0082371F">
        <w:t xml:space="preserve"> premises. The length of the site audit will depend on the size of </w:t>
      </w:r>
      <w:r w:rsidR="00E620AE">
        <w:t>the GTO</w:t>
      </w:r>
      <w:r w:rsidR="00AA110E">
        <w:t>, but is likely to take between 1-2 days</w:t>
      </w:r>
      <w:r w:rsidR="00E620AE" w:rsidRPr="0082371F">
        <w:t xml:space="preserve">. If </w:t>
      </w:r>
      <w:r w:rsidR="00E620AE">
        <w:t>the GTO has a</w:t>
      </w:r>
      <w:r w:rsidR="00E620AE" w:rsidRPr="0082371F">
        <w:t xml:space="preserve"> multi-site operation, the auditor may ch</w:t>
      </w:r>
      <w:r w:rsidR="00E620AE">
        <w:t xml:space="preserve">oose to inspect a sample of </w:t>
      </w:r>
      <w:r w:rsidR="00E620AE" w:rsidRPr="0082371F">
        <w:t>sites.</w:t>
      </w:r>
    </w:p>
    <w:p w14:paraId="26753DA0" w14:textId="77777777" w:rsidR="00E620AE" w:rsidRDefault="00A61059" w:rsidP="00CC779E">
      <w:pPr>
        <w:jc w:val="both"/>
      </w:pPr>
      <w:r>
        <w:t>At the conclusion of the site</w:t>
      </w:r>
      <w:r w:rsidR="00E620AE">
        <w:t xml:space="preserve"> audit </w:t>
      </w:r>
      <w:r>
        <w:t>the auditor will provide a verbal summary of t</w:t>
      </w:r>
      <w:r w:rsidR="00E620AE">
        <w:t xml:space="preserve">he </w:t>
      </w:r>
      <w:r>
        <w:t>findings and will indicate when the audit report will be issued</w:t>
      </w:r>
      <w:r w:rsidR="00E620AE" w:rsidRPr="0082371F">
        <w:t>.</w:t>
      </w:r>
      <w:r>
        <w:t xml:space="preserve"> </w:t>
      </w:r>
    </w:p>
    <w:p w14:paraId="6287BCFC" w14:textId="2FA5BCC3" w:rsidR="001F721D" w:rsidRDefault="001F721D" w:rsidP="00CC779E">
      <w:pPr>
        <w:jc w:val="both"/>
      </w:pPr>
      <w:r>
        <w:t xml:space="preserve">Where the site audit occurs in NSW but the interviews held with ACT apprentices, trainees and host employers identify issues or concerns, a further site </w:t>
      </w:r>
      <w:r w:rsidRPr="001F721D">
        <w:t xml:space="preserve">audit </w:t>
      </w:r>
      <w:r>
        <w:t xml:space="preserve">of the ACT operations </w:t>
      </w:r>
      <w:r w:rsidRPr="001F721D">
        <w:t xml:space="preserve">may </w:t>
      </w:r>
      <w:r>
        <w:t xml:space="preserve">be </w:t>
      </w:r>
      <w:r w:rsidRPr="001F721D">
        <w:t>schedule</w:t>
      </w:r>
      <w:r>
        <w:t xml:space="preserve">d. Where this occurs, it will be managed and invoiced separately by the ACT (refer </w:t>
      </w:r>
      <w:hyperlink w:anchor="_Cost_of_GTO_1" w:history="1">
        <w:r w:rsidRPr="00AA110E">
          <w:rPr>
            <w:rStyle w:val="Hyperlink"/>
          </w:rPr>
          <w:t>Cost of GTO Registration</w:t>
        </w:r>
      </w:hyperlink>
      <w:r>
        <w:t>)</w:t>
      </w:r>
      <w:r w:rsidR="00AA110E">
        <w:t>.</w:t>
      </w:r>
      <w:r>
        <w:t xml:space="preserve"> </w:t>
      </w:r>
    </w:p>
    <w:p w14:paraId="537DBECC" w14:textId="77777777" w:rsidR="00AC052E" w:rsidRDefault="00AC052E">
      <w:pPr>
        <w:spacing w:line="276" w:lineRule="auto"/>
        <w:rPr>
          <w:rFonts w:asciiTheme="majorHAnsi" w:hAnsiTheme="majorHAnsi"/>
          <w:bCs/>
          <w:color w:val="482D8C" w:themeColor="background2"/>
          <w:sz w:val="24"/>
          <w:szCs w:val="28"/>
        </w:rPr>
      </w:pPr>
      <w:bookmarkStart w:id="19" w:name="_Audit_Participants"/>
      <w:bookmarkEnd w:id="19"/>
      <w:r>
        <w:br w:type="page"/>
      </w:r>
    </w:p>
    <w:p w14:paraId="7AC9E8E1" w14:textId="325073F8" w:rsidR="00787D9C" w:rsidRDefault="00787D9C" w:rsidP="00787D9C">
      <w:pPr>
        <w:pStyle w:val="Heading4"/>
        <w:jc w:val="both"/>
      </w:pPr>
      <w:bookmarkStart w:id="20" w:name="_Toc500417259"/>
      <w:r>
        <w:lastRenderedPageBreak/>
        <w:t>Audit Participants</w:t>
      </w:r>
      <w:bookmarkEnd w:id="20"/>
    </w:p>
    <w:p w14:paraId="2EF80410" w14:textId="3F8DCD05" w:rsidR="00787D9C" w:rsidRDefault="00787D9C" w:rsidP="00787D9C">
      <w:pPr>
        <w:jc w:val="both"/>
      </w:pPr>
      <w:r>
        <w:t>The external auditor is contract</w:t>
      </w:r>
      <w:r w:rsidR="00A61059">
        <w:t>ed</w:t>
      </w:r>
      <w:r>
        <w:t xml:space="preserve"> to either NSW or the ACT </w:t>
      </w:r>
      <w:r w:rsidR="00AA110E">
        <w:t xml:space="preserve">governments </w:t>
      </w:r>
      <w:r>
        <w:t>to conduct the audits and will be accompanied by a</w:t>
      </w:r>
      <w:r w:rsidR="00AA110E">
        <w:t xml:space="preserve"> </w:t>
      </w:r>
      <w:r>
        <w:t>staff member from either ACT (Skills Canberra</w:t>
      </w:r>
      <w:r w:rsidR="0019208B">
        <w:t>) or NSW (Training Services NSW</w:t>
      </w:r>
      <w:r w:rsidR="00A61059">
        <w:t>)</w:t>
      </w:r>
      <w:r>
        <w:t xml:space="preserve">, depending on the location of the audit. </w:t>
      </w:r>
    </w:p>
    <w:p w14:paraId="7BC0AB42" w14:textId="77777777" w:rsidR="00787D9C" w:rsidRDefault="00787D9C" w:rsidP="00AA110E">
      <w:r>
        <w:t>For audits conducted in NSW, NSW</w:t>
      </w:r>
      <w:r w:rsidRPr="0082371F">
        <w:t xml:space="preserve"> </w:t>
      </w:r>
      <w:r>
        <w:t xml:space="preserve">may ask </w:t>
      </w:r>
      <w:r w:rsidRPr="0082371F">
        <w:t xml:space="preserve">permission for a non-Departmental observer to </w:t>
      </w:r>
      <w:r w:rsidR="00A61059">
        <w:t xml:space="preserve">also </w:t>
      </w:r>
      <w:r w:rsidRPr="0082371F">
        <w:t>attend a site audit</w:t>
      </w:r>
      <w:r>
        <w:t>. This may include a new auditor for training purposes, an industry observer or other interested party</w:t>
      </w:r>
      <w:r w:rsidRPr="0082371F">
        <w:t xml:space="preserve">. </w:t>
      </w:r>
      <w:r>
        <w:t>The GTO</w:t>
      </w:r>
      <w:r w:rsidRPr="0082371F">
        <w:t xml:space="preserve"> may decline this request.</w:t>
      </w:r>
    </w:p>
    <w:p w14:paraId="2976EDD3" w14:textId="640348C6" w:rsidR="00787D9C" w:rsidRPr="0082371F" w:rsidRDefault="00787D9C" w:rsidP="00787D9C">
      <w:pPr>
        <w:jc w:val="both"/>
      </w:pPr>
      <w:r>
        <w:t>An</w:t>
      </w:r>
      <w:r w:rsidRPr="0082371F">
        <w:t xml:space="preserve"> external person or organisation engaged by </w:t>
      </w:r>
      <w:r>
        <w:t>a GTO</w:t>
      </w:r>
      <w:r w:rsidRPr="0082371F">
        <w:t xml:space="preserve"> to </w:t>
      </w:r>
      <w:r w:rsidR="00AA110E">
        <w:t>assist</w:t>
      </w:r>
      <w:r>
        <w:t xml:space="preserve"> </w:t>
      </w:r>
      <w:r w:rsidRPr="0082371F">
        <w:t xml:space="preserve">with </w:t>
      </w:r>
      <w:r>
        <w:t xml:space="preserve">the GTO </w:t>
      </w:r>
      <w:r w:rsidRPr="0082371F">
        <w:t>registration</w:t>
      </w:r>
      <w:r>
        <w:t xml:space="preserve"> process</w:t>
      </w:r>
      <w:r w:rsidRPr="0082371F">
        <w:t xml:space="preserve"> may be available on-site to </w:t>
      </w:r>
      <w:r>
        <w:t xml:space="preserve">provide </w:t>
      </w:r>
      <w:r w:rsidRPr="0082371F">
        <w:t>advi</w:t>
      </w:r>
      <w:r>
        <w:t>c</w:t>
      </w:r>
      <w:r w:rsidRPr="0082371F">
        <w:t xml:space="preserve">e </w:t>
      </w:r>
      <w:r>
        <w:t xml:space="preserve">to the GTO </w:t>
      </w:r>
      <w:r w:rsidRPr="0082371F">
        <w:t xml:space="preserve">during </w:t>
      </w:r>
      <w:r w:rsidR="0019208B">
        <w:t>the</w:t>
      </w:r>
      <w:r w:rsidRPr="0082371F">
        <w:t xml:space="preserve"> site audit. However, they may not be present at any of the audit interviews or discussions between the audit team and </w:t>
      </w:r>
      <w:r>
        <w:t>the GTO’s</w:t>
      </w:r>
      <w:r w:rsidRPr="0082371F">
        <w:t xml:space="preserve"> management or staff, and may not communicate directly on behalf of </w:t>
      </w:r>
      <w:r>
        <w:t>the GTO</w:t>
      </w:r>
      <w:r w:rsidRPr="0082371F">
        <w:t xml:space="preserve"> to </w:t>
      </w:r>
      <w:r w:rsidR="00A61059">
        <w:t xml:space="preserve">any member of </w:t>
      </w:r>
      <w:r w:rsidRPr="0082371F">
        <w:t>the audit team</w:t>
      </w:r>
      <w:r>
        <w:t>.</w:t>
      </w:r>
    </w:p>
    <w:p w14:paraId="528E9264" w14:textId="7BB4AEEA" w:rsidR="00787D9C" w:rsidRPr="008564FE" w:rsidRDefault="0019208B" w:rsidP="00787D9C">
      <w:pPr>
        <w:pStyle w:val="Heading4"/>
      </w:pPr>
      <w:bookmarkStart w:id="21" w:name="_Toc500417260"/>
      <w:r>
        <w:t>Audit O</w:t>
      </w:r>
      <w:r w:rsidR="00787D9C" w:rsidRPr="00BA37C9">
        <w:t>utcomes</w:t>
      </w:r>
      <w:bookmarkEnd w:id="21"/>
    </w:p>
    <w:p w14:paraId="4292DEE5" w14:textId="05354FC7" w:rsidR="00787D9C" w:rsidRPr="0082371F" w:rsidRDefault="00787D9C" w:rsidP="00787D9C">
      <w:r w:rsidRPr="0082371F">
        <w:t>The compliance audit may have the following outcomes:</w:t>
      </w:r>
    </w:p>
    <w:p w14:paraId="177DC57F" w14:textId="69422A75" w:rsidR="00787D9C" w:rsidRPr="00A61059" w:rsidRDefault="00787D9C" w:rsidP="00787D9C">
      <w:pPr>
        <w:pStyle w:val="Bullet1"/>
        <w:rPr>
          <w:sz w:val="21"/>
          <w:szCs w:val="21"/>
        </w:rPr>
      </w:pPr>
      <w:r w:rsidRPr="00A61059">
        <w:rPr>
          <w:sz w:val="21"/>
          <w:szCs w:val="21"/>
        </w:rPr>
        <w:t xml:space="preserve">The auditor finds the GTO </w:t>
      </w:r>
      <w:r w:rsidRPr="00A61059">
        <w:rPr>
          <w:b/>
          <w:bCs/>
          <w:sz w:val="21"/>
          <w:szCs w:val="21"/>
        </w:rPr>
        <w:t>fully compliant</w:t>
      </w:r>
      <w:r w:rsidRPr="00A61059">
        <w:rPr>
          <w:sz w:val="21"/>
          <w:szCs w:val="21"/>
        </w:rPr>
        <w:t xml:space="preserve"> and makes a recommendation that the GTO be approved for registration </w:t>
      </w:r>
    </w:p>
    <w:p w14:paraId="4F0E457E" w14:textId="1AB1DC7C" w:rsidR="00787D9C" w:rsidRPr="00A61059" w:rsidRDefault="00787D9C" w:rsidP="00787D9C">
      <w:pPr>
        <w:pStyle w:val="Bullet1"/>
        <w:rPr>
          <w:sz w:val="21"/>
          <w:szCs w:val="21"/>
        </w:rPr>
      </w:pPr>
      <w:r w:rsidRPr="00A61059">
        <w:rPr>
          <w:sz w:val="21"/>
          <w:szCs w:val="21"/>
        </w:rPr>
        <w:t xml:space="preserve">The auditor may identify </w:t>
      </w:r>
      <w:r w:rsidRPr="00A61059">
        <w:rPr>
          <w:b/>
          <w:sz w:val="21"/>
          <w:szCs w:val="21"/>
        </w:rPr>
        <w:t>non</w:t>
      </w:r>
      <w:r w:rsidR="008A4E00">
        <w:rPr>
          <w:b/>
          <w:sz w:val="21"/>
          <w:szCs w:val="21"/>
        </w:rPr>
        <w:t>-</w:t>
      </w:r>
      <w:r w:rsidRPr="00A61059">
        <w:rPr>
          <w:b/>
          <w:sz w:val="21"/>
          <w:szCs w:val="21"/>
        </w:rPr>
        <w:t>compliance</w:t>
      </w:r>
      <w:r w:rsidRPr="00A61059">
        <w:rPr>
          <w:sz w:val="21"/>
          <w:szCs w:val="21"/>
        </w:rPr>
        <w:t xml:space="preserve"> for the GTO and recommend further evidence be provided in order for the GTO to comply fully with the Standards. GTOs will be given up to </w:t>
      </w:r>
      <w:r w:rsidRPr="00A61059">
        <w:rPr>
          <w:b/>
          <w:sz w:val="21"/>
          <w:szCs w:val="21"/>
        </w:rPr>
        <w:t>30 days</w:t>
      </w:r>
      <w:r w:rsidRPr="00A61059">
        <w:rPr>
          <w:sz w:val="21"/>
          <w:szCs w:val="21"/>
        </w:rPr>
        <w:t xml:space="preserve"> from issue </w:t>
      </w:r>
      <w:r w:rsidR="004C32CA">
        <w:rPr>
          <w:sz w:val="21"/>
          <w:szCs w:val="21"/>
        </w:rPr>
        <w:t>o</w:t>
      </w:r>
      <w:r w:rsidRPr="00A61059">
        <w:rPr>
          <w:sz w:val="21"/>
          <w:szCs w:val="21"/>
        </w:rPr>
        <w:t>f the audit report to address non compliances. A follow-up audit may be necessary</w:t>
      </w:r>
    </w:p>
    <w:p w14:paraId="718CE0FE" w14:textId="77777777" w:rsidR="00787D9C" w:rsidRPr="00A61059" w:rsidRDefault="00787D9C" w:rsidP="00787D9C">
      <w:pPr>
        <w:pStyle w:val="Bullet1"/>
        <w:spacing w:after="200" w:line="250" w:lineRule="exact"/>
        <w:ind w:left="357" w:hanging="357"/>
        <w:rPr>
          <w:b/>
          <w:bCs/>
          <w:sz w:val="21"/>
          <w:szCs w:val="21"/>
        </w:rPr>
      </w:pPr>
      <w:r w:rsidRPr="00A61059">
        <w:rPr>
          <w:sz w:val="21"/>
          <w:szCs w:val="21"/>
        </w:rPr>
        <w:t xml:space="preserve">The auditor finds the GTO </w:t>
      </w:r>
      <w:r w:rsidRPr="00A61059">
        <w:rPr>
          <w:b/>
          <w:bCs/>
          <w:sz w:val="21"/>
          <w:szCs w:val="21"/>
        </w:rPr>
        <w:t>not compliant</w:t>
      </w:r>
      <w:r w:rsidRPr="00A61059">
        <w:rPr>
          <w:sz w:val="21"/>
          <w:szCs w:val="21"/>
        </w:rPr>
        <w:t xml:space="preserve"> and does not recommend the GTO’s registration.</w:t>
      </w:r>
    </w:p>
    <w:p w14:paraId="44A05188" w14:textId="648A530B" w:rsidR="00787D9C" w:rsidRPr="000B7B5C" w:rsidRDefault="00787D9C" w:rsidP="00787D9C">
      <w:pPr>
        <w:rPr>
          <w:bCs/>
        </w:rPr>
      </w:pPr>
      <w:r w:rsidRPr="008564FE">
        <w:rPr>
          <w:bCs/>
        </w:rPr>
        <w:t xml:space="preserve">The GTO must meet the </w:t>
      </w:r>
      <w:r w:rsidRPr="00F6236E">
        <w:rPr>
          <w:bCs/>
        </w:rPr>
        <w:t>Standards</w:t>
      </w:r>
      <w:r w:rsidRPr="008564FE">
        <w:rPr>
          <w:bCs/>
        </w:rPr>
        <w:t xml:space="preserve"> fully for the auditor to recommend registration.  No interim registration will be considered.</w:t>
      </w:r>
    </w:p>
    <w:p w14:paraId="55649F8D" w14:textId="77777777" w:rsidR="003A6FBE" w:rsidRPr="00D60DC0" w:rsidRDefault="003A6FBE" w:rsidP="00D60DC0">
      <w:pPr>
        <w:pStyle w:val="Heading1"/>
      </w:pPr>
      <w:bookmarkStart w:id="22" w:name="_Toc500417261"/>
      <w:r w:rsidRPr="00D60DC0">
        <w:t>REGISTRATION</w:t>
      </w:r>
      <w:bookmarkEnd w:id="22"/>
    </w:p>
    <w:p w14:paraId="1049D990" w14:textId="7FD506C1" w:rsidR="00A61059" w:rsidRDefault="00A61059" w:rsidP="00A61059">
      <w:r w:rsidRPr="0082371F">
        <w:t xml:space="preserve">Once the auditor is satisfied that </w:t>
      </w:r>
      <w:r>
        <w:t>the GTO</w:t>
      </w:r>
      <w:r w:rsidRPr="0082371F">
        <w:t xml:space="preserve"> </w:t>
      </w:r>
      <w:r>
        <w:t xml:space="preserve">is </w:t>
      </w:r>
      <w:r w:rsidRPr="0082371F">
        <w:t xml:space="preserve">fully </w:t>
      </w:r>
      <w:r>
        <w:t xml:space="preserve">compliant </w:t>
      </w:r>
      <w:r w:rsidRPr="0082371F">
        <w:t xml:space="preserve">with the </w:t>
      </w:r>
      <w:r w:rsidRPr="00F6236E">
        <w:t>Standards</w:t>
      </w:r>
      <w:r w:rsidRPr="0082371F">
        <w:t xml:space="preserve">, </w:t>
      </w:r>
      <w:r>
        <w:t xml:space="preserve">they will forward their invoice for the total cost </w:t>
      </w:r>
      <w:r w:rsidR="00F36DD9">
        <w:t xml:space="preserve">of </w:t>
      </w:r>
      <w:r>
        <w:t>the compliance audit along with their recommendation to either ACT (Skills Canberra</w:t>
      </w:r>
      <w:r w:rsidR="0019208B">
        <w:t>) or NSW (Training Services NSW</w:t>
      </w:r>
      <w:r>
        <w:t xml:space="preserve">), depending on the location of the audit (refer </w:t>
      </w:r>
      <w:hyperlink w:anchor="_Cost_of_GTO" w:history="1">
        <w:r w:rsidRPr="00F36DD9">
          <w:rPr>
            <w:rStyle w:val="Hyperlink"/>
          </w:rPr>
          <w:t>Cost of Registration</w:t>
        </w:r>
      </w:hyperlink>
      <w:r>
        <w:t>).</w:t>
      </w:r>
    </w:p>
    <w:p w14:paraId="7C2C2E05" w14:textId="77777777" w:rsidR="00A61059" w:rsidRDefault="00A61059" w:rsidP="00A61059">
      <w:pPr>
        <w:rPr>
          <w:bCs/>
        </w:rPr>
      </w:pPr>
      <w:r>
        <w:rPr>
          <w:bCs/>
        </w:rPr>
        <w:t>The balance of the audit cost (total audit cost minus $1500 deposit) will be invoiced to the GTO once the audit has been completed.</w:t>
      </w:r>
    </w:p>
    <w:p w14:paraId="45EE654F" w14:textId="71F41BEF" w:rsidR="00A61059" w:rsidRDefault="0019208B" w:rsidP="00A61059">
      <w:pPr>
        <w:pStyle w:val="Heading4"/>
      </w:pPr>
      <w:bookmarkStart w:id="23" w:name="_Toc500417262"/>
      <w:r>
        <w:t>Auditor R</w:t>
      </w:r>
      <w:r w:rsidR="00A61059">
        <w:t>ecommendation</w:t>
      </w:r>
      <w:bookmarkEnd w:id="23"/>
    </w:p>
    <w:p w14:paraId="65B16C53" w14:textId="77777777" w:rsidR="00A61059" w:rsidRPr="00CC355D" w:rsidRDefault="00A61059" w:rsidP="00A61059">
      <w:pPr>
        <w:pStyle w:val="Bullet1"/>
        <w:rPr>
          <w:sz w:val="21"/>
          <w:szCs w:val="21"/>
        </w:rPr>
      </w:pPr>
      <w:r w:rsidRPr="00CC355D">
        <w:rPr>
          <w:sz w:val="21"/>
          <w:szCs w:val="21"/>
        </w:rPr>
        <w:t xml:space="preserve">Where the auditor recommends that registration is granted, a GTO </w:t>
      </w:r>
      <w:r w:rsidR="00AE3FE5" w:rsidRPr="00CC355D">
        <w:rPr>
          <w:sz w:val="21"/>
          <w:szCs w:val="21"/>
        </w:rPr>
        <w:t>R</w:t>
      </w:r>
      <w:r w:rsidRPr="00CC355D">
        <w:rPr>
          <w:sz w:val="21"/>
          <w:szCs w:val="21"/>
        </w:rPr>
        <w:t xml:space="preserve">egistration </w:t>
      </w:r>
      <w:r w:rsidR="00AE3FE5" w:rsidRPr="00CC355D">
        <w:rPr>
          <w:sz w:val="21"/>
          <w:szCs w:val="21"/>
        </w:rPr>
        <w:t>C</w:t>
      </w:r>
      <w:r w:rsidRPr="00CC355D">
        <w:rPr>
          <w:sz w:val="21"/>
          <w:szCs w:val="21"/>
        </w:rPr>
        <w:t xml:space="preserve">ertificate will be prepared and will be issued to the GTO once the registration status has been updated on the GTO National Register. </w:t>
      </w:r>
      <w:r w:rsidR="00AE3FE5" w:rsidRPr="00CC355D">
        <w:rPr>
          <w:sz w:val="21"/>
          <w:szCs w:val="21"/>
        </w:rPr>
        <w:t>The GTO Registration Certificate will also include the period of registration that has been granted.</w:t>
      </w:r>
    </w:p>
    <w:p w14:paraId="6295AA2E" w14:textId="77777777" w:rsidR="00A61059" w:rsidRPr="00CC355D" w:rsidRDefault="00A61059" w:rsidP="00A61059">
      <w:pPr>
        <w:pStyle w:val="Bullet1"/>
        <w:numPr>
          <w:ilvl w:val="0"/>
          <w:numId w:val="0"/>
        </w:numPr>
        <w:ind w:left="360"/>
        <w:rPr>
          <w:sz w:val="21"/>
          <w:szCs w:val="21"/>
        </w:rPr>
      </w:pPr>
      <w:r w:rsidRPr="00CC355D">
        <w:rPr>
          <w:sz w:val="21"/>
          <w:szCs w:val="21"/>
        </w:rPr>
        <w:t>Where a GTO is seeking registration for the first time, they will be provided with the national logo for group training for use in their marketing materials.</w:t>
      </w:r>
    </w:p>
    <w:p w14:paraId="22AE947C" w14:textId="77777777" w:rsidR="00A61059" w:rsidRPr="00CC355D" w:rsidRDefault="00A61059" w:rsidP="00F36DD9">
      <w:pPr>
        <w:pStyle w:val="Bullet1"/>
        <w:spacing w:after="200" w:line="250" w:lineRule="exact"/>
        <w:ind w:left="357" w:hanging="357"/>
        <w:rPr>
          <w:sz w:val="21"/>
          <w:szCs w:val="21"/>
        </w:rPr>
      </w:pPr>
      <w:r w:rsidRPr="00CC355D">
        <w:rPr>
          <w:sz w:val="21"/>
          <w:szCs w:val="21"/>
        </w:rPr>
        <w:t xml:space="preserve">Where the auditor finds the GTO is </w:t>
      </w:r>
      <w:r w:rsidRPr="00CC355D">
        <w:rPr>
          <w:bCs/>
          <w:sz w:val="21"/>
          <w:szCs w:val="21"/>
        </w:rPr>
        <w:t>not compliant</w:t>
      </w:r>
      <w:r w:rsidRPr="00CC355D">
        <w:rPr>
          <w:sz w:val="21"/>
          <w:szCs w:val="21"/>
        </w:rPr>
        <w:t xml:space="preserve"> and recommends that registration is not granted, the GTO will be notified in writing. GTOs may seek a review of the decision upon request in writing to </w:t>
      </w:r>
      <w:hyperlink r:id="rId26" w:history="1">
        <w:r w:rsidRPr="00CC355D">
          <w:rPr>
            <w:rStyle w:val="Hyperlink"/>
            <w:sz w:val="21"/>
            <w:szCs w:val="21"/>
          </w:rPr>
          <w:t>skills@act.gov.au</w:t>
        </w:r>
      </w:hyperlink>
      <w:r w:rsidRPr="00CC355D">
        <w:rPr>
          <w:sz w:val="21"/>
          <w:szCs w:val="21"/>
        </w:rPr>
        <w:t xml:space="preserve">. </w:t>
      </w:r>
    </w:p>
    <w:p w14:paraId="1E83107F" w14:textId="72ECAFF2" w:rsidR="00F36DD9" w:rsidRDefault="00A61059" w:rsidP="00F36DD9">
      <w:r>
        <w:t>Where the audit outcome differs between NSW and ACT, each jurisdiction may make the decision to register, or not, independent of the other jurisdiction’s decision</w:t>
      </w:r>
      <w:r w:rsidR="00F36DD9">
        <w:t>.</w:t>
      </w:r>
    </w:p>
    <w:p w14:paraId="71A3754C" w14:textId="77777777" w:rsidR="00F36DD9" w:rsidRPr="00D60DC0" w:rsidRDefault="00F36DD9" w:rsidP="00F36DD9">
      <w:pPr>
        <w:pStyle w:val="Heading4"/>
      </w:pPr>
      <w:bookmarkStart w:id="24" w:name="_Cost_of_GTO_1"/>
      <w:bookmarkStart w:id="25" w:name="_Toc500417263"/>
      <w:bookmarkEnd w:id="24"/>
      <w:r>
        <w:lastRenderedPageBreak/>
        <w:t>Cost of GTO Registration</w:t>
      </w:r>
      <w:bookmarkEnd w:id="25"/>
    </w:p>
    <w:p w14:paraId="26D7D59A" w14:textId="77777777" w:rsidR="00F36DD9" w:rsidRDefault="00F36DD9" w:rsidP="00F36DD9">
      <w:r>
        <w:t>Registration costs c</w:t>
      </w:r>
      <w:r w:rsidRPr="000D29DE">
        <w:t>omprise solely of exte</w:t>
      </w:r>
      <w:r>
        <w:t xml:space="preserve">rnal auditor fees, payable by an initial $1500 </w:t>
      </w:r>
      <w:r w:rsidRPr="000D29DE">
        <w:t xml:space="preserve">deposit upon lodgement of the application </w:t>
      </w:r>
      <w:r>
        <w:t>with</w:t>
      </w:r>
      <w:r w:rsidRPr="000D29DE">
        <w:t xml:space="preserve"> the balance </w:t>
      </w:r>
      <w:r>
        <w:t xml:space="preserve">of the audit </w:t>
      </w:r>
      <w:r w:rsidRPr="000D29DE">
        <w:t xml:space="preserve">payable upon finalisation of the GTO </w:t>
      </w:r>
      <w:r>
        <w:t xml:space="preserve">compliance </w:t>
      </w:r>
      <w:r w:rsidRPr="000D29DE">
        <w:t>audit and auditor recommendation</w:t>
      </w:r>
      <w:r>
        <w:t>.</w:t>
      </w:r>
    </w:p>
    <w:p w14:paraId="412A4B7D" w14:textId="77777777" w:rsidR="00F36DD9" w:rsidRDefault="00F36DD9" w:rsidP="00F36DD9">
      <w:r>
        <w:t xml:space="preserve">Where a site audit is conducted in both ACT and NSW the audit costs will be invoiced separately. </w:t>
      </w:r>
    </w:p>
    <w:p w14:paraId="0E9ECC63" w14:textId="77777777" w:rsidR="00F36DD9" w:rsidRPr="0037422C" w:rsidRDefault="00F36DD9" w:rsidP="00F36DD9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szCs w:val="20"/>
          <w:lang w:val="en"/>
        </w:rPr>
      </w:pPr>
      <w:r w:rsidRPr="0037422C">
        <w:rPr>
          <w:rStyle w:val="Strong"/>
        </w:rPr>
        <w:t>All</w:t>
      </w:r>
      <w:r w:rsidRPr="0037422C">
        <w:rPr>
          <w:b/>
          <w:szCs w:val="20"/>
          <w:lang w:val="en"/>
        </w:rPr>
        <w:t xml:space="preserve"> costs for the independent auditor are to be met by the applicant GTO.</w:t>
      </w:r>
    </w:p>
    <w:p w14:paraId="251C9B80" w14:textId="77777777" w:rsidR="003A6FBE" w:rsidRPr="00D60DC0" w:rsidRDefault="0087245D" w:rsidP="0087245D">
      <w:pPr>
        <w:pStyle w:val="Heading4"/>
      </w:pPr>
      <w:bookmarkStart w:id="26" w:name="_Toc500417264"/>
      <w:bookmarkEnd w:id="2"/>
      <w:r w:rsidRPr="00D60DC0">
        <w:t>Registration Term</w:t>
      </w:r>
      <w:bookmarkEnd w:id="26"/>
    </w:p>
    <w:p w14:paraId="55863C4A" w14:textId="77777777" w:rsidR="003A6FBE" w:rsidRDefault="003A6FBE" w:rsidP="003A6FBE">
      <w:r>
        <w:t>Registration length varies depe</w:t>
      </w:r>
      <w:r w:rsidR="00A61059">
        <w:t>n</w:t>
      </w:r>
      <w:r>
        <w:t>d</w:t>
      </w:r>
      <w:r w:rsidR="00A61059">
        <w:t>ing on the characteristics of the GTO.</w:t>
      </w:r>
    </w:p>
    <w:tbl>
      <w:tblPr>
        <w:tblStyle w:val="ColorfulList-Accent51"/>
        <w:tblW w:w="9464" w:type="dxa"/>
        <w:tblInd w:w="-108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D60DC0" w14:paraId="6020CF19" w14:textId="77777777" w:rsidTr="00A61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19C3C4F7" w14:textId="77777777" w:rsidR="00D60DC0" w:rsidRDefault="00D60DC0" w:rsidP="00D60DC0">
            <w:r>
              <w:t>Characteristics of the GTO</w:t>
            </w:r>
          </w:p>
        </w:tc>
        <w:tc>
          <w:tcPr>
            <w:tcW w:w="4536" w:type="dxa"/>
          </w:tcPr>
          <w:p w14:paraId="066808A8" w14:textId="77777777" w:rsidR="00D60DC0" w:rsidRDefault="00D60DC0" w:rsidP="00D60D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Registration</w:t>
            </w:r>
            <w:r w:rsidR="00A61059">
              <w:t xml:space="preserve"> Period</w:t>
            </w:r>
          </w:p>
        </w:tc>
      </w:tr>
      <w:tr w:rsidR="00D60DC0" w14:paraId="50D847FB" w14:textId="77777777" w:rsidTr="00A61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65B5E984" w14:textId="77777777" w:rsidR="00D60DC0" w:rsidRDefault="00D60DC0" w:rsidP="00D60DC0">
            <w:r>
              <w:t>Organisation not previously registered</w:t>
            </w:r>
          </w:p>
        </w:tc>
        <w:tc>
          <w:tcPr>
            <w:tcW w:w="4536" w:type="dxa"/>
            <w:vAlign w:val="top"/>
          </w:tcPr>
          <w:p w14:paraId="0ECC5B53" w14:textId="77777777" w:rsidR="00D60DC0" w:rsidRPr="000D29DE" w:rsidRDefault="00D60DC0" w:rsidP="00D60DC0">
            <w:pPr>
              <w:pStyle w:val="BodyText2"/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0D29DE">
              <w:rPr>
                <w:szCs w:val="24"/>
              </w:rPr>
              <w:t>1 year</w:t>
            </w:r>
          </w:p>
        </w:tc>
      </w:tr>
      <w:tr w:rsidR="00D60DC0" w14:paraId="449C4A88" w14:textId="77777777" w:rsidTr="00A610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144E574E" w14:textId="0823D7B0" w:rsidR="00D60DC0" w:rsidRDefault="00D60DC0" w:rsidP="00D60DC0">
            <w:r w:rsidRPr="000D29DE">
              <w:rPr>
                <w:szCs w:val="24"/>
              </w:rPr>
              <w:t>Registered GTOs seeking re-registration with less than 10 Australian Apprentices in the last 12 months</w:t>
            </w:r>
            <w:r w:rsidR="00F36DD9">
              <w:rPr>
                <w:szCs w:val="24"/>
              </w:rPr>
              <w:t xml:space="preserve"> across both jurisdictions.</w:t>
            </w:r>
          </w:p>
        </w:tc>
        <w:tc>
          <w:tcPr>
            <w:tcW w:w="4536" w:type="dxa"/>
            <w:vAlign w:val="top"/>
          </w:tcPr>
          <w:p w14:paraId="1C780D20" w14:textId="77777777" w:rsidR="00D60DC0" w:rsidRPr="000D29DE" w:rsidRDefault="00D60DC0" w:rsidP="00D60DC0">
            <w:pPr>
              <w:pStyle w:val="BodyText2"/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0D29DE">
              <w:rPr>
                <w:szCs w:val="24"/>
              </w:rPr>
              <w:t>1 year</w:t>
            </w:r>
          </w:p>
        </w:tc>
      </w:tr>
      <w:tr w:rsidR="00D60DC0" w14:paraId="59D1B5FD" w14:textId="77777777" w:rsidTr="00A61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3AE42F4E" w14:textId="77777777" w:rsidR="00D60DC0" w:rsidRDefault="00D60DC0" w:rsidP="00D60DC0">
            <w:r w:rsidRPr="000D29DE">
              <w:rPr>
                <w:szCs w:val="24"/>
              </w:rPr>
              <w:t>Registered GTOs seeking re-registration with 10 or more Australian Apprentices in the last 12 months</w:t>
            </w:r>
          </w:p>
        </w:tc>
        <w:tc>
          <w:tcPr>
            <w:tcW w:w="4536" w:type="dxa"/>
            <w:vAlign w:val="top"/>
          </w:tcPr>
          <w:p w14:paraId="5EF78C64" w14:textId="77777777" w:rsidR="00D60DC0" w:rsidRPr="000D29DE" w:rsidRDefault="00D60DC0" w:rsidP="00D60DC0">
            <w:pPr>
              <w:pStyle w:val="BodyText2"/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0D29DE">
              <w:rPr>
                <w:szCs w:val="24"/>
              </w:rPr>
              <w:t>3 years</w:t>
            </w:r>
          </w:p>
        </w:tc>
      </w:tr>
    </w:tbl>
    <w:p w14:paraId="5D3F86B2" w14:textId="25B7CA76" w:rsidR="003A6FBE" w:rsidRPr="000D29DE" w:rsidRDefault="0019208B" w:rsidP="00F36DD9">
      <w:r>
        <w:br/>
      </w:r>
      <w:r w:rsidR="00A61059">
        <w:t>Where the GTO is operating in NSW, the registration term granted</w:t>
      </w:r>
      <w:r w:rsidR="001F5B22">
        <w:t xml:space="preserve"> in the ACT</w:t>
      </w:r>
      <w:r w:rsidR="00A61059">
        <w:t xml:space="preserve"> will be based on the number of apprentices/trainees in NSW.</w:t>
      </w:r>
    </w:p>
    <w:p w14:paraId="2B8F6611" w14:textId="77777777" w:rsidR="003A6FBE" w:rsidRPr="00D60DC0" w:rsidRDefault="003A6FBE" w:rsidP="00D60DC0">
      <w:pPr>
        <w:pStyle w:val="Heading1"/>
      </w:pPr>
      <w:bookmarkStart w:id="27" w:name="_Cost_of_GTO"/>
      <w:bookmarkStart w:id="28" w:name="_Toc500417265"/>
      <w:bookmarkEnd w:id="27"/>
      <w:r w:rsidRPr="00D60DC0">
        <w:t>COMPLIANCE MONITORING</w:t>
      </w:r>
      <w:bookmarkEnd w:id="28"/>
    </w:p>
    <w:p w14:paraId="374B56F2" w14:textId="77777777" w:rsidR="00AE3FE5" w:rsidRPr="0082371F" w:rsidRDefault="00AE3FE5" w:rsidP="00AE3FE5">
      <w:r w:rsidRPr="0082371F">
        <w:t xml:space="preserve">Compliance monitoring </w:t>
      </w:r>
      <w:r>
        <w:t xml:space="preserve">may be undertaken at any time during the GTO’s registration term and can include either a </w:t>
      </w:r>
      <w:r w:rsidRPr="0082371F">
        <w:t xml:space="preserve">monitoring visit or </w:t>
      </w:r>
      <w:r>
        <w:t xml:space="preserve">a </w:t>
      </w:r>
      <w:r w:rsidRPr="0082371F">
        <w:t>compliance audit.</w:t>
      </w:r>
    </w:p>
    <w:p w14:paraId="6053414D" w14:textId="57E4B5E5" w:rsidR="00AE3FE5" w:rsidRPr="0082371F" w:rsidRDefault="00AE3FE5" w:rsidP="00AE3FE5">
      <w:r>
        <w:t xml:space="preserve">Information may also be passed onto the audit team through employer and/or apprentice/trainee visits </w:t>
      </w:r>
      <w:r w:rsidR="003638E1">
        <w:t xml:space="preserve">or enquiries, </w:t>
      </w:r>
      <w:r>
        <w:t>where concerns are identified</w:t>
      </w:r>
      <w:r w:rsidRPr="0082371F">
        <w:t xml:space="preserve"> which may warrant further investigation.</w:t>
      </w:r>
    </w:p>
    <w:p w14:paraId="74FD1A6F" w14:textId="397F6BED" w:rsidR="00AD74EF" w:rsidRDefault="00AE3FE5" w:rsidP="00AE3FE5">
      <w:r>
        <w:t>A</w:t>
      </w:r>
      <w:r w:rsidRPr="0082371F">
        <w:t xml:space="preserve">n audit </w:t>
      </w:r>
      <w:r>
        <w:t xml:space="preserve">may be initiated </w:t>
      </w:r>
      <w:r w:rsidRPr="0082371F">
        <w:t xml:space="preserve">at any time during a GTO’s period of registration, either to monitor ongoing compliance with the Standards or as a result of a complaint about the organisation. </w:t>
      </w:r>
      <w:r>
        <w:t>Depending on the type of audit it may be conducted by an external</w:t>
      </w:r>
      <w:r w:rsidRPr="0082371F">
        <w:t xml:space="preserve"> auditor </w:t>
      </w:r>
      <w:r>
        <w:t xml:space="preserve">or </w:t>
      </w:r>
      <w:r w:rsidR="003638E1">
        <w:t>Skills Canberra</w:t>
      </w:r>
      <w:r>
        <w:t xml:space="preserve"> staff. Where an external auditor is engaged the GTO will be advised </w:t>
      </w:r>
      <w:r w:rsidR="00AD74EF">
        <w:t>before</w:t>
      </w:r>
      <w:r w:rsidR="003638E1">
        <w:t xml:space="preserve"> audit commencement </w:t>
      </w:r>
      <w:r>
        <w:t xml:space="preserve">whether the </w:t>
      </w:r>
      <w:r w:rsidRPr="0082371F">
        <w:t xml:space="preserve">cost will </w:t>
      </w:r>
      <w:r w:rsidR="003638E1">
        <w:t xml:space="preserve">need to </w:t>
      </w:r>
      <w:r w:rsidRPr="0082371F">
        <w:t>be met by the GTO.</w:t>
      </w:r>
    </w:p>
    <w:p w14:paraId="198F3382" w14:textId="77777777" w:rsidR="0019208B" w:rsidRDefault="0019208B">
      <w:pPr>
        <w:spacing w:line="276" w:lineRule="auto"/>
        <w:rPr>
          <w:rFonts w:asciiTheme="majorHAnsi" w:eastAsiaTheme="majorEastAsia" w:hAnsiTheme="majorHAnsi" w:cstheme="majorBidi"/>
          <w:bCs/>
          <w:caps/>
          <w:color w:val="482D8C" w:themeColor="background2"/>
          <w:spacing w:val="-20"/>
          <w:kern w:val="36"/>
          <w:sz w:val="44"/>
          <w:szCs w:val="48"/>
        </w:rPr>
      </w:pPr>
      <w:r>
        <w:br w:type="page"/>
      </w:r>
    </w:p>
    <w:p w14:paraId="2CEC1102" w14:textId="0BCEDA09" w:rsidR="00AD74EF" w:rsidRPr="00BA6E6D" w:rsidRDefault="00AD74EF" w:rsidP="00AD74EF">
      <w:pPr>
        <w:pStyle w:val="Heading1"/>
      </w:pPr>
      <w:bookmarkStart w:id="29" w:name="_Toc500417266"/>
      <w:r w:rsidRPr="00BA6E6D">
        <w:lastRenderedPageBreak/>
        <w:t>De-registration</w:t>
      </w:r>
      <w:bookmarkEnd w:id="29"/>
    </w:p>
    <w:p w14:paraId="775536CA" w14:textId="77777777" w:rsidR="00AD74EF" w:rsidRPr="0082371F" w:rsidRDefault="00AD74EF" w:rsidP="00AD74EF">
      <w:r w:rsidRPr="0082371F">
        <w:t xml:space="preserve">If, as a result of a compliance </w:t>
      </w:r>
      <w:r>
        <w:t xml:space="preserve">monitoring </w:t>
      </w:r>
      <w:r w:rsidRPr="0082371F">
        <w:t>audit</w:t>
      </w:r>
      <w:r>
        <w:t xml:space="preserve"> </w:t>
      </w:r>
      <w:r w:rsidRPr="0082371F">
        <w:t xml:space="preserve">a GTO cannot demonstrate that it fully complies with the Standards, and it fails to demonstrate compliance required by the auditor within </w:t>
      </w:r>
      <w:r>
        <w:t xml:space="preserve">the specified </w:t>
      </w:r>
      <w:r w:rsidRPr="0082371F">
        <w:t xml:space="preserve">timeframe, the auditor may recommend that the </w:t>
      </w:r>
      <w:r>
        <w:t xml:space="preserve">GTO’s </w:t>
      </w:r>
      <w:r w:rsidRPr="0082371F">
        <w:t>registration be suspended or cancelled.</w:t>
      </w:r>
    </w:p>
    <w:p w14:paraId="1B23E503" w14:textId="77777777" w:rsidR="00E072DA" w:rsidRDefault="00AD74EF" w:rsidP="00E072DA">
      <w:pPr>
        <w:pStyle w:val="Bullet1"/>
        <w:numPr>
          <w:ilvl w:val="0"/>
          <w:numId w:val="0"/>
        </w:numPr>
        <w:spacing w:after="200" w:line="250" w:lineRule="exact"/>
      </w:pPr>
      <w:r w:rsidRPr="0082371F">
        <w:t xml:space="preserve">If a recommendation </w:t>
      </w:r>
      <w:r>
        <w:t>for</w:t>
      </w:r>
      <w:r w:rsidRPr="0082371F">
        <w:t xml:space="preserve"> </w:t>
      </w:r>
      <w:r w:rsidR="004C1FD7">
        <w:t>cancellation</w:t>
      </w:r>
      <w:r w:rsidRPr="0082371F">
        <w:t xml:space="preserve"> is made, a GTO will be given </w:t>
      </w:r>
      <w:r w:rsidRPr="0082371F">
        <w:rPr>
          <w:b/>
          <w:bCs/>
        </w:rPr>
        <w:t>30</w:t>
      </w:r>
      <w:r w:rsidRPr="0082371F">
        <w:t xml:space="preserve"> </w:t>
      </w:r>
      <w:r w:rsidRPr="0082371F">
        <w:rPr>
          <w:b/>
          <w:bCs/>
        </w:rPr>
        <w:t>days</w:t>
      </w:r>
      <w:r w:rsidRPr="0082371F">
        <w:t xml:space="preserve"> from the date of </w:t>
      </w:r>
      <w:r w:rsidR="004C1FD7">
        <w:t xml:space="preserve">notification </w:t>
      </w:r>
      <w:r w:rsidR="00E072DA">
        <w:t xml:space="preserve">to lodge an appeal prior to the decision being made. The appeal must be lodged in writing to </w:t>
      </w:r>
      <w:hyperlink r:id="rId27" w:history="1">
        <w:r w:rsidR="00E072DA" w:rsidRPr="00312E17">
          <w:rPr>
            <w:rStyle w:val="Hyperlink"/>
          </w:rPr>
          <w:t>skills@act.gov.au</w:t>
        </w:r>
      </w:hyperlink>
      <w:r w:rsidR="00E072DA">
        <w:t xml:space="preserve">. </w:t>
      </w:r>
    </w:p>
    <w:p w14:paraId="4B1560DB" w14:textId="77777777" w:rsidR="00AD74EF" w:rsidRPr="0082371F" w:rsidRDefault="00AD74EF" w:rsidP="00E072DA">
      <w:pPr>
        <w:pStyle w:val="Bullet1"/>
        <w:numPr>
          <w:ilvl w:val="0"/>
          <w:numId w:val="0"/>
        </w:numPr>
      </w:pPr>
      <w:r w:rsidRPr="0082371F">
        <w:t xml:space="preserve">The GTO will be notified in writing of the </w:t>
      </w:r>
      <w:r w:rsidR="00E072DA">
        <w:t xml:space="preserve">final </w:t>
      </w:r>
      <w:r w:rsidRPr="0082371F">
        <w:t>decision.</w:t>
      </w:r>
    </w:p>
    <w:p w14:paraId="0E319751" w14:textId="77777777" w:rsidR="00AD74EF" w:rsidRPr="00BA6E6D" w:rsidRDefault="00AD74EF" w:rsidP="004C1FD7">
      <w:pPr>
        <w:pStyle w:val="Heading1"/>
      </w:pPr>
      <w:bookmarkStart w:id="30" w:name="_Toc500417267"/>
      <w:r w:rsidRPr="00BA6E6D">
        <w:t>Re-registration</w:t>
      </w:r>
      <w:bookmarkEnd w:id="30"/>
    </w:p>
    <w:p w14:paraId="1F86A52B" w14:textId="241AB4D8" w:rsidR="00E072DA" w:rsidRDefault="00E072DA" w:rsidP="00E072DA">
      <w:r>
        <w:t>R</w:t>
      </w:r>
      <w:r w:rsidR="00AD74EF">
        <w:t>egistered GTO</w:t>
      </w:r>
      <w:r>
        <w:t>s</w:t>
      </w:r>
      <w:r w:rsidR="00AD74EF">
        <w:t xml:space="preserve"> </w:t>
      </w:r>
      <w:r w:rsidR="00AD74EF" w:rsidRPr="0082371F">
        <w:t xml:space="preserve">will receive a reminder letter prior to the expiry of </w:t>
      </w:r>
      <w:r w:rsidR="00AD74EF">
        <w:t>their</w:t>
      </w:r>
      <w:r w:rsidR="00AD74EF" w:rsidRPr="0082371F">
        <w:t xml:space="preserve"> registration. </w:t>
      </w:r>
      <w:r w:rsidR="00AD74EF">
        <w:t xml:space="preserve">The GTO </w:t>
      </w:r>
      <w:r w:rsidR="00AD74EF" w:rsidRPr="0082371F">
        <w:t xml:space="preserve">will be required to submit </w:t>
      </w:r>
      <w:r>
        <w:t xml:space="preserve">the </w:t>
      </w:r>
      <w:r w:rsidR="00A61615">
        <w:t>relevant a</w:t>
      </w:r>
      <w:r>
        <w:t>p</w:t>
      </w:r>
      <w:r w:rsidR="00AD74EF" w:rsidRPr="0082371F">
        <w:t xml:space="preserve">plication </w:t>
      </w:r>
      <w:r w:rsidR="00A61615">
        <w:t>f</w:t>
      </w:r>
      <w:r>
        <w:t xml:space="preserve">orm </w:t>
      </w:r>
      <w:r w:rsidR="00AD74EF" w:rsidRPr="0082371F">
        <w:t xml:space="preserve">for re-registration three months before </w:t>
      </w:r>
      <w:r w:rsidR="00AD74EF">
        <w:t>their</w:t>
      </w:r>
      <w:r w:rsidR="00AD74EF" w:rsidRPr="0082371F">
        <w:t xml:space="preserve"> registration </w:t>
      </w:r>
      <w:r w:rsidR="00AD74EF">
        <w:t xml:space="preserve">is due to </w:t>
      </w:r>
      <w:r w:rsidR="00AD74EF" w:rsidRPr="0082371F">
        <w:t xml:space="preserve">expire </w:t>
      </w:r>
      <w:r>
        <w:t xml:space="preserve">to allow sufficient time for a </w:t>
      </w:r>
      <w:r w:rsidR="00AD74EF" w:rsidRPr="0082371F">
        <w:t>compliance audit</w:t>
      </w:r>
      <w:r>
        <w:t xml:space="preserve"> to be scheduled and conducted</w:t>
      </w:r>
      <w:r w:rsidR="00A61615">
        <w:t xml:space="preserve"> (refer </w:t>
      </w:r>
      <w:hyperlink w:anchor="_APPLICATION_LODGEMENT" w:history="1">
        <w:r w:rsidR="00A61615" w:rsidRPr="00A61615">
          <w:rPr>
            <w:rStyle w:val="Hyperlink"/>
          </w:rPr>
          <w:t>Application Lodgement</w:t>
        </w:r>
      </w:hyperlink>
      <w:r w:rsidR="00A61615">
        <w:t>)</w:t>
      </w:r>
      <w:r w:rsidR="00AD74EF" w:rsidRPr="0082371F">
        <w:t xml:space="preserve">. </w:t>
      </w:r>
    </w:p>
    <w:p w14:paraId="0B7B1294" w14:textId="3E51FDBF" w:rsidR="00AE3FE5" w:rsidRDefault="00AD74EF" w:rsidP="00AE3FE5">
      <w:r>
        <w:t xml:space="preserve">The GTO’s </w:t>
      </w:r>
      <w:r w:rsidRPr="0082371F">
        <w:t xml:space="preserve">registration will expire if </w:t>
      </w:r>
      <w:r w:rsidR="00E072DA">
        <w:t xml:space="preserve">the </w:t>
      </w:r>
      <w:r w:rsidR="00A61615">
        <w:t>a</w:t>
      </w:r>
      <w:r w:rsidR="00E072DA">
        <w:t xml:space="preserve">pplication </w:t>
      </w:r>
      <w:r w:rsidR="00A61615">
        <w:t>f</w:t>
      </w:r>
      <w:r w:rsidR="00E072DA">
        <w:t xml:space="preserve">orm is not </w:t>
      </w:r>
      <w:r w:rsidRPr="0082371F">
        <w:t xml:space="preserve">received by </w:t>
      </w:r>
      <w:r>
        <w:t xml:space="preserve">the </w:t>
      </w:r>
      <w:r w:rsidRPr="0082371F">
        <w:t xml:space="preserve">expiry date. </w:t>
      </w:r>
      <w:r w:rsidR="00E072DA">
        <w:t xml:space="preserve">Where the </w:t>
      </w:r>
      <w:r w:rsidR="00A61615">
        <w:t>a</w:t>
      </w:r>
      <w:r w:rsidR="00E072DA">
        <w:t xml:space="preserve">pplication </w:t>
      </w:r>
      <w:r w:rsidR="00A61615">
        <w:t>f</w:t>
      </w:r>
      <w:r w:rsidR="00E072DA">
        <w:t xml:space="preserve">orm has been submitted and the re-registration audit and auditor’s recommendation has not been finalised before the expiry, an extension to the current registration term may be considered whilst the audit process is being finalised. </w:t>
      </w:r>
    </w:p>
    <w:p w14:paraId="0B8474D6" w14:textId="77777777" w:rsidR="00DA0E8F" w:rsidRDefault="00DA0E8F" w:rsidP="00DA0E8F">
      <w:pPr>
        <w:pStyle w:val="Heading1"/>
      </w:pPr>
      <w:bookmarkStart w:id="31" w:name="_Toc500417268"/>
      <w:r>
        <w:t>Further Information</w:t>
      </w:r>
      <w:bookmarkEnd w:id="31"/>
      <w:r>
        <w:t xml:space="preserve"> </w:t>
      </w:r>
    </w:p>
    <w:p w14:paraId="7382EAA4" w14:textId="5A4C2D49" w:rsidR="00DA0E8F" w:rsidRPr="00066092" w:rsidRDefault="00DA0E8F" w:rsidP="00AE3FE5">
      <w:r>
        <w:rPr>
          <w:rFonts w:cs="Source Sans Pro Light"/>
          <w:color w:val="000000"/>
        </w:rPr>
        <w:t xml:space="preserve">For any further assistance or enquiries about the GTO registration process, email </w:t>
      </w:r>
      <w:hyperlink r:id="rId28" w:history="1">
        <w:r w:rsidR="00A61615" w:rsidRPr="003D56FE">
          <w:rPr>
            <w:rStyle w:val="Hyperlink"/>
            <w:rFonts w:cs="Source Sans Pro Light"/>
          </w:rPr>
          <w:t>skills@act.gov.au</w:t>
        </w:r>
      </w:hyperlink>
      <w:r w:rsidR="00A61615">
        <w:rPr>
          <w:rFonts w:cs="Source Sans Pro Light"/>
          <w:color w:val="000000"/>
        </w:rPr>
        <w:t xml:space="preserve"> </w:t>
      </w:r>
      <w:r>
        <w:rPr>
          <w:rFonts w:cs="Source Sans Pro Light"/>
          <w:color w:val="000000"/>
        </w:rPr>
        <w:t>or call (02) 6205 8555.</w:t>
      </w:r>
    </w:p>
    <w:p w14:paraId="00707890" w14:textId="77777777" w:rsidR="00AE6BD7" w:rsidRDefault="00AE6BD7" w:rsidP="00AE6BD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Montserrat" w:eastAsia="Times New Roman" w:hAnsi="Montserrat"/>
          <w:caps/>
          <w:color w:val="F79646"/>
          <w:sz w:val="48"/>
          <w:szCs w:val="48"/>
        </w:rPr>
        <w:br w:type="page"/>
      </w:r>
    </w:p>
    <w:p w14:paraId="75CDDDD6" w14:textId="77777777" w:rsidR="00A56436" w:rsidRDefault="006D2273" w:rsidP="00860B3E">
      <w:pPr>
        <w:spacing w:line="276" w:lineRule="auto"/>
      </w:pPr>
      <w:bookmarkStart w:id="32" w:name="_Toc457377884"/>
      <w:bookmarkEnd w:id="32"/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63EFF6FC" wp14:editId="07E312FE">
            <wp:simplePos x="0" y="0"/>
            <wp:positionH relativeFrom="page">
              <wp:posOffset>-21590</wp:posOffset>
            </wp:positionH>
            <wp:positionV relativeFrom="page">
              <wp:align>top</wp:align>
            </wp:positionV>
            <wp:extent cx="7632000" cy="10790839"/>
            <wp:effectExtent l="19050" t="0" r="7050" b="0"/>
            <wp:wrapNone/>
            <wp:docPr id="2" name="Picture 1" descr="Arts ACT-cover 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s ACT-cover backgrou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000" cy="10790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C45D6A" w14:textId="77777777" w:rsidR="00B70B52" w:rsidRDefault="00B70B52">
      <w:pPr>
        <w:spacing w:line="276" w:lineRule="auto"/>
        <w:rPr>
          <w:rFonts w:eastAsia="TimesNewRomanPS-ItalicMT"/>
        </w:rPr>
      </w:pPr>
    </w:p>
    <w:p w14:paraId="0940AEDC" w14:textId="77777777" w:rsidR="007903B1" w:rsidRDefault="007903B1">
      <w:pPr>
        <w:spacing w:line="276" w:lineRule="auto"/>
        <w:rPr>
          <w:rFonts w:eastAsia="TimesNewRomanPS-ItalicMT"/>
        </w:rPr>
      </w:pPr>
    </w:p>
    <w:p w14:paraId="1180F16F" w14:textId="77777777" w:rsidR="007D5985" w:rsidRPr="003B2710" w:rsidRDefault="007D5985" w:rsidP="007D5985">
      <w:pPr>
        <w:rPr>
          <w:rFonts w:eastAsia="TimesNewRomanPS-ItalicMT"/>
        </w:rPr>
      </w:pPr>
    </w:p>
    <w:p w14:paraId="1ABAFC0E" w14:textId="77777777" w:rsidR="00632F54" w:rsidRPr="00632F54" w:rsidRDefault="00496C0F" w:rsidP="00CC355D">
      <w:r>
        <w:rPr>
          <w:noProof/>
        </w:rPr>
        <w:drawing>
          <wp:anchor distT="0" distB="0" distL="114300" distR="114300" simplePos="0" relativeHeight="251658240" behindDoc="0" locked="0" layoutInCell="1" allowOverlap="1" wp14:anchorId="2D5C4DE7" wp14:editId="4925502A">
            <wp:simplePos x="0" y="0"/>
            <wp:positionH relativeFrom="margin">
              <wp:posOffset>5715</wp:posOffset>
            </wp:positionH>
            <wp:positionV relativeFrom="page">
              <wp:posOffset>7205980</wp:posOffset>
            </wp:positionV>
            <wp:extent cx="1413510" cy="721995"/>
            <wp:effectExtent l="19050" t="0" r="0" b="0"/>
            <wp:wrapSquare wrapText="bothSides"/>
            <wp:docPr id="8" name="Picture 4" descr="ACTGov_inline_black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CTGov_inline_black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29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12C68" wp14:editId="719160C1">
                <wp:simplePos x="0" y="0"/>
                <wp:positionH relativeFrom="column">
                  <wp:posOffset>0</wp:posOffset>
                </wp:positionH>
                <wp:positionV relativeFrom="page">
                  <wp:posOffset>9001125</wp:posOffset>
                </wp:positionV>
                <wp:extent cx="3439795" cy="916940"/>
                <wp:effectExtent l="0" t="0" r="3175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84B9B" w14:textId="77777777" w:rsidR="008F0D7F" w:rsidRDefault="008F0D7F" w:rsidP="00600625">
                            <w:pPr>
                              <w:pStyle w:val="Intro"/>
                              <w:rPr>
                                <w:caps/>
                                <w:color w:val="FFFFFF"/>
                              </w:rPr>
                            </w:pPr>
                            <w:r>
                              <w:rPr>
                                <w:caps/>
                                <w:color w:val="FFFFFF"/>
                              </w:rPr>
                              <w:t>skills Canberra</w:t>
                            </w:r>
                          </w:p>
                          <w:p w14:paraId="52994EF3" w14:textId="77777777" w:rsidR="008F0D7F" w:rsidRPr="000016B9" w:rsidRDefault="008F0D7F" w:rsidP="00600625">
                            <w:pPr>
                              <w:pStyle w:val="Intro"/>
                              <w:rPr>
                                <w:caps/>
                                <w:color w:val="FFFFFF"/>
                              </w:rPr>
                            </w:pPr>
                            <w:r>
                              <w:rPr>
                                <w:caps/>
                                <w:color w:val="FFFFFF"/>
                              </w:rPr>
                              <w:t>Chief ministeer, treasury and economic development directorate</w:t>
                            </w:r>
                          </w:p>
                          <w:p w14:paraId="5E76B1B8" w14:textId="7A7C4AAC" w:rsidR="008F0D7F" w:rsidRPr="003D4DBC" w:rsidRDefault="00FA7E9D" w:rsidP="000016B9">
                            <w:pPr>
                              <w:pStyle w:val="Intr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September</w:t>
                            </w:r>
                            <w:r w:rsidR="00E73300">
                              <w:rPr>
                                <w:color w:val="FFFFFF" w:themeColor="background1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812C68" id="Text Box 7" o:spid="_x0000_s1028" type="#_x0000_t202" style="position:absolute;margin-left:0;margin-top:708.75pt;width:270.85pt;height:7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8ZJuQIAAMA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" filled="f" stroked="f">
                <v:textbox style="mso-fit-shape-to-text:t">
                  <w:txbxContent>
                    <w:p w14:paraId="29984B9B" w14:textId="77777777" w:rsidR="008F0D7F" w:rsidRDefault="008F0D7F" w:rsidP="00600625">
                      <w:pPr>
                        <w:pStyle w:val="Intro"/>
                        <w:rPr>
                          <w:caps/>
                          <w:color w:val="FFFFFF"/>
                        </w:rPr>
                      </w:pPr>
                      <w:r>
                        <w:rPr>
                          <w:caps/>
                          <w:color w:val="FFFFFF"/>
                        </w:rPr>
                        <w:t>skills Canberra</w:t>
                      </w:r>
                    </w:p>
                    <w:p w14:paraId="52994EF3" w14:textId="77777777" w:rsidR="008F0D7F" w:rsidRPr="000016B9" w:rsidRDefault="008F0D7F" w:rsidP="00600625">
                      <w:pPr>
                        <w:pStyle w:val="Intro"/>
                        <w:rPr>
                          <w:caps/>
                          <w:color w:val="FFFFFF"/>
                        </w:rPr>
                      </w:pPr>
                      <w:r>
                        <w:rPr>
                          <w:caps/>
                          <w:color w:val="FFFFFF"/>
                        </w:rPr>
                        <w:t>Chief ministeer, treasury and economic development directorate</w:t>
                      </w:r>
                    </w:p>
                    <w:p w14:paraId="5E76B1B8" w14:textId="7A7C4AAC" w:rsidR="008F0D7F" w:rsidRPr="003D4DBC" w:rsidRDefault="00FA7E9D" w:rsidP="000016B9">
                      <w:pPr>
                        <w:pStyle w:val="Intro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September</w:t>
                      </w:r>
                      <w:r w:rsidR="00E73300">
                        <w:rPr>
                          <w:color w:val="FFFFFF" w:themeColor="background1"/>
                        </w:rPr>
                        <w:t xml:space="preserve"> 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t xml:space="preserve"> </w:t>
      </w:r>
    </w:p>
    <w:sectPr w:rsidR="00632F54" w:rsidRPr="00632F54" w:rsidSect="00E73300">
      <w:headerReference w:type="default" r:id="rId29"/>
      <w:footerReference w:type="default" r:id="rId30"/>
      <w:type w:val="continuous"/>
      <w:pgSz w:w="11906" w:h="16838" w:code="9"/>
      <w:pgMar w:top="1843" w:right="1418" w:bottom="1560" w:left="1418" w:header="567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452B1" w14:textId="77777777" w:rsidR="00AF120D" w:rsidRDefault="00AF120D" w:rsidP="00665B9F">
      <w:pPr>
        <w:spacing w:after="0" w:line="240" w:lineRule="auto"/>
      </w:pPr>
      <w:r>
        <w:separator/>
      </w:r>
    </w:p>
  </w:endnote>
  <w:endnote w:type="continuationSeparator" w:id="0">
    <w:p w14:paraId="6FE53DD9" w14:textId="77777777" w:rsidR="00AF120D" w:rsidRDefault="00AF120D" w:rsidP="0066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E2167" w14:textId="49B6D234" w:rsidR="008F0D7F" w:rsidRPr="000A6B63" w:rsidRDefault="008F0D7F" w:rsidP="009E4EC4">
    <w:pPr>
      <w:pStyle w:val="Intro"/>
      <w:tabs>
        <w:tab w:val="right" w:pos="8505"/>
        <w:tab w:val="right" w:pos="8789"/>
      </w:tabs>
    </w:pPr>
    <w:r w:rsidRPr="00AC052E">
      <w:rPr>
        <w:noProof/>
        <w:color w:val="auto"/>
        <w:sz w:val="18"/>
        <w:szCs w:val="18"/>
        <w:shd w:val="clear" w:color="auto" w:fill="D9D9D9" w:themeFill="background1" w:themeFillShade="D9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8355CE" wp14:editId="697F8C8F">
              <wp:simplePos x="0" y="0"/>
              <wp:positionH relativeFrom="column">
                <wp:posOffset>-900430</wp:posOffset>
              </wp:positionH>
              <wp:positionV relativeFrom="paragraph">
                <wp:posOffset>-179705</wp:posOffset>
              </wp:positionV>
              <wp:extent cx="7560945" cy="0"/>
              <wp:effectExtent l="9525" t="10160" r="11430" b="8890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9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F7951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70.9pt;margin-top:-14.15pt;width:595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85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"/>
          </w:pict>
        </mc:Fallback>
      </mc:AlternateContent>
    </w:r>
    <w:r w:rsidRPr="00AC052E">
      <w:rPr>
        <w:color w:val="auto"/>
        <w:sz w:val="18"/>
        <w:szCs w:val="18"/>
        <w:shd w:val="clear" w:color="auto" w:fill="D9D9D9" w:themeFill="background1" w:themeFillShade="D9"/>
      </w:rPr>
      <w:t>ACT GTO Registration Guide</w:t>
    </w:r>
    <w:r w:rsidRPr="00AD07F5">
      <w:rPr>
        <w:color w:val="auto"/>
        <w:sz w:val="18"/>
        <w:szCs w:val="18"/>
        <w:shd w:val="clear" w:color="auto" w:fill="D9D9D9" w:themeFill="background1" w:themeFillShade="D9"/>
      </w:rPr>
      <w:t xml:space="preserve"> </w:t>
    </w:r>
    <w:r>
      <w:rPr>
        <w:sz w:val="18"/>
        <w:szCs w:val="18"/>
      </w:rPr>
      <w:tab/>
    </w:r>
    <w:r w:rsidRPr="00B02277">
      <w:rPr>
        <w:sz w:val="20"/>
        <w:szCs w:val="20"/>
      </w:rPr>
      <w:fldChar w:fldCharType="begin"/>
    </w:r>
    <w:r w:rsidRPr="00B02277">
      <w:rPr>
        <w:sz w:val="20"/>
        <w:szCs w:val="20"/>
      </w:rPr>
      <w:instrText xml:space="preserve"> PAGE   \* MERGEFORMAT </w:instrText>
    </w:r>
    <w:r w:rsidRPr="00B02277">
      <w:rPr>
        <w:sz w:val="20"/>
        <w:szCs w:val="20"/>
      </w:rPr>
      <w:fldChar w:fldCharType="separate"/>
    </w:r>
    <w:r w:rsidR="00FA7E9D">
      <w:rPr>
        <w:noProof/>
        <w:sz w:val="20"/>
        <w:szCs w:val="20"/>
      </w:rPr>
      <w:t>1</w:t>
    </w:r>
    <w:r w:rsidRPr="00B0227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9FAC" w14:textId="77777777" w:rsidR="00AF120D" w:rsidRDefault="00AF120D" w:rsidP="00665B9F">
      <w:pPr>
        <w:spacing w:after="0" w:line="240" w:lineRule="auto"/>
      </w:pPr>
      <w:r>
        <w:separator/>
      </w:r>
    </w:p>
  </w:footnote>
  <w:footnote w:type="continuationSeparator" w:id="0">
    <w:p w14:paraId="749E9707" w14:textId="77777777" w:rsidR="00AF120D" w:rsidRDefault="00AF120D" w:rsidP="0066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04B6" w14:textId="77777777" w:rsidR="008F0D7F" w:rsidRPr="006046FF" w:rsidRDefault="008F0D7F" w:rsidP="002009BA">
    <w:pPr>
      <w:pStyle w:val="Intro"/>
      <w:rPr>
        <w:b/>
        <w:caps/>
        <w:color w:val="000000" w:themeColor="text1"/>
      </w:rPr>
    </w:pPr>
    <w:r w:rsidRPr="006046FF">
      <w:rPr>
        <w:b/>
        <w:caps/>
        <w:noProof/>
        <w:color w:val="000000" w:themeColor="text1"/>
      </w:rPr>
      <w:drawing>
        <wp:anchor distT="0" distB="0" distL="114300" distR="114300" simplePos="0" relativeHeight="251657216" behindDoc="1" locked="0" layoutInCell="1" allowOverlap="1" wp14:anchorId="240B8C86" wp14:editId="6A1AC84E">
          <wp:simplePos x="0" y="0"/>
          <wp:positionH relativeFrom="page">
            <wp:posOffset>-36195</wp:posOffset>
          </wp:positionH>
          <wp:positionV relativeFrom="page">
            <wp:posOffset>0</wp:posOffset>
          </wp:positionV>
          <wp:extent cx="7632000" cy="905504"/>
          <wp:effectExtent l="19050" t="0" r="7050" b="0"/>
          <wp:wrapNone/>
          <wp:docPr id="6" name="Picture 0" descr="Arts ACT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ts ACT-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2000" cy="905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BB8CFC" w14:textId="77777777" w:rsidR="008F0D7F" w:rsidRDefault="008F0D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42203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B647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BACF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663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64849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1831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449A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84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203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B63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DF41D9"/>
    <w:multiLevelType w:val="hybridMultilevel"/>
    <w:tmpl w:val="C540C7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217E84"/>
    <w:multiLevelType w:val="hybridMultilevel"/>
    <w:tmpl w:val="BD9CAC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E04"/>
    <w:multiLevelType w:val="hybridMultilevel"/>
    <w:tmpl w:val="5F940F5C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79908B4"/>
    <w:multiLevelType w:val="hybridMultilevel"/>
    <w:tmpl w:val="273CAB94"/>
    <w:lvl w:ilvl="0" w:tplc="C0D2D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EF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AE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47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8E8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AC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B61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E0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525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2E0595"/>
    <w:multiLevelType w:val="hybridMultilevel"/>
    <w:tmpl w:val="A92472E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404661"/>
    <w:multiLevelType w:val="hybridMultilevel"/>
    <w:tmpl w:val="1B0CEADA"/>
    <w:lvl w:ilvl="0" w:tplc="A16054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3706EF"/>
    <w:multiLevelType w:val="hybridMultilevel"/>
    <w:tmpl w:val="7EA4D89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C2B"/>
    <w:multiLevelType w:val="hybridMultilevel"/>
    <w:tmpl w:val="B1BE7A1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76A38C9"/>
    <w:multiLevelType w:val="hybridMultilevel"/>
    <w:tmpl w:val="6D2455A2"/>
    <w:lvl w:ilvl="0" w:tplc="A90EFF1A">
      <w:start w:val="1"/>
      <w:numFmt w:val="decimal"/>
      <w:pStyle w:val="Noteslist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9A21DC"/>
    <w:multiLevelType w:val="hybridMultilevel"/>
    <w:tmpl w:val="5FACCD06"/>
    <w:lvl w:ilvl="0" w:tplc="E5FC75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4641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055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4EF2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786B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000B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E1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2BA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72DE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A3476"/>
    <w:multiLevelType w:val="hybridMultilevel"/>
    <w:tmpl w:val="39967906"/>
    <w:lvl w:ilvl="0" w:tplc="089ED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D0390"/>
    <w:multiLevelType w:val="hybridMultilevel"/>
    <w:tmpl w:val="C5A26AB4"/>
    <w:lvl w:ilvl="0" w:tplc="1C96EE6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644C39"/>
    <w:multiLevelType w:val="hybridMultilevel"/>
    <w:tmpl w:val="C6AEA7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534F1"/>
    <w:multiLevelType w:val="hybridMultilevel"/>
    <w:tmpl w:val="C5500502"/>
    <w:lvl w:ilvl="0" w:tplc="017AE87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1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5A212B"/>
    <w:multiLevelType w:val="hybridMultilevel"/>
    <w:tmpl w:val="09D6AB0C"/>
    <w:lvl w:ilvl="0" w:tplc="6F3CF378">
      <w:start w:val="1"/>
      <w:numFmt w:val="bullet"/>
      <w:pStyle w:val="Bullet3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68A5F19"/>
    <w:multiLevelType w:val="hybridMultilevel"/>
    <w:tmpl w:val="15BABDDA"/>
    <w:lvl w:ilvl="0" w:tplc="6450D3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B14BC"/>
    <w:multiLevelType w:val="hybridMultilevel"/>
    <w:tmpl w:val="45F892B2"/>
    <w:lvl w:ilvl="0" w:tplc="0C09000F">
      <w:start w:val="1"/>
      <w:numFmt w:val="decimal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 w15:restartNumberingAfterBreak="0">
    <w:nsid w:val="4B344940"/>
    <w:multiLevelType w:val="hybridMultilevel"/>
    <w:tmpl w:val="37E0F7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834595"/>
    <w:multiLevelType w:val="hybridMultilevel"/>
    <w:tmpl w:val="3C9233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2C32"/>
    <w:multiLevelType w:val="hybridMultilevel"/>
    <w:tmpl w:val="64FA4880"/>
    <w:lvl w:ilvl="0" w:tplc="AD52B0E2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1A54FB"/>
    <w:multiLevelType w:val="hybridMultilevel"/>
    <w:tmpl w:val="9FC25AF0"/>
    <w:lvl w:ilvl="0" w:tplc="2F763CEE">
      <w:start w:val="1"/>
      <w:numFmt w:val="decimal"/>
      <w:pStyle w:val="bulletnumbers"/>
      <w:lvlText w:val="%1."/>
      <w:lvlJc w:val="left"/>
      <w:pPr>
        <w:ind w:left="360" w:hanging="360"/>
      </w:pPr>
      <w:rPr>
        <w:b/>
      </w:rPr>
    </w:lvl>
    <w:lvl w:ilvl="1" w:tplc="35C2D6D6">
      <w:start w:val="1"/>
      <w:numFmt w:val="bullet"/>
      <w:lvlText w:val=""/>
      <w:lvlJc w:val="left"/>
      <w:pPr>
        <w:ind w:left="108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8F771F"/>
    <w:multiLevelType w:val="multilevel"/>
    <w:tmpl w:val="341A4B9E"/>
    <w:lvl w:ilvl="0">
      <w:start w:val="1"/>
      <w:numFmt w:val="bullet"/>
      <w:pStyle w:val="Bullet2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2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34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44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54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264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774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284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794" w:hanging="357"/>
      </w:pPr>
      <w:rPr>
        <w:rFonts w:ascii="Wingdings" w:hAnsi="Wingdings" w:hint="default"/>
      </w:rPr>
    </w:lvl>
  </w:abstractNum>
  <w:abstractNum w:abstractNumId="32" w15:restartNumberingAfterBreak="0">
    <w:nsid w:val="5DE15445"/>
    <w:multiLevelType w:val="hybridMultilevel"/>
    <w:tmpl w:val="6EC63490"/>
    <w:lvl w:ilvl="0" w:tplc="B76C4A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9D420E"/>
    <w:multiLevelType w:val="hybridMultilevel"/>
    <w:tmpl w:val="695EDD6C"/>
    <w:lvl w:ilvl="0" w:tplc="1F80BF74">
      <w:start w:val="1"/>
      <w:numFmt w:val="bullet"/>
      <w:pStyle w:val="Bullet1"/>
      <w:lvlText w:val="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C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6E46F0"/>
    <w:multiLevelType w:val="hybridMultilevel"/>
    <w:tmpl w:val="4C62C744"/>
    <w:lvl w:ilvl="0" w:tplc="35C2D6D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875C19"/>
    <w:multiLevelType w:val="hybridMultilevel"/>
    <w:tmpl w:val="978EC45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359B6"/>
    <w:multiLevelType w:val="hybridMultilevel"/>
    <w:tmpl w:val="D11480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A773BE"/>
    <w:multiLevelType w:val="hybridMultilevel"/>
    <w:tmpl w:val="086EBCD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4B85"/>
    <w:multiLevelType w:val="hybridMultilevel"/>
    <w:tmpl w:val="76B2FD32"/>
    <w:lvl w:ilvl="0" w:tplc="FDBA84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33"/>
  </w:num>
  <w:num w:numId="4">
    <w:abstractNumId w:val="31"/>
  </w:num>
  <w:num w:numId="5">
    <w:abstractNumId w:val="24"/>
  </w:num>
  <w:num w:numId="6">
    <w:abstractNumId w:val="18"/>
  </w:num>
  <w:num w:numId="7">
    <w:abstractNumId w:val="37"/>
  </w:num>
  <w:num w:numId="8">
    <w:abstractNumId w:val="22"/>
  </w:num>
  <w:num w:numId="9">
    <w:abstractNumId w:val="11"/>
  </w:num>
  <w:num w:numId="10">
    <w:abstractNumId w:val="26"/>
  </w:num>
  <w:num w:numId="11">
    <w:abstractNumId w:val="20"/>
  </w:num>
  <w:num w:numId="12">
    <w:abstractNumId w:val="32"/>
  </w:num>
  <w:num w:numId="13">
    <w:abstractNumId w:val="15"/>
  </w:num>
  <w:num w:numId="14">
    <w:abstractNumId w:val="21"/>
  </w:num>
  <w:num w:numId="15">
    <w:abstractNumId w:val="23"/>
  </w:num>
  <w:num w:numId="16">
    <w:abstractNumId w:val="14"/>
  </w:num>
  <w:num w:numId="17">
    <w:abstractNumId w:val="16"/>
  </w:num>
  <w:num w:numId="18">
    <w:abstractNumId w:val="3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0"/>
  </w:num>
  <w:num w:numId="30">
    <w:abstractNumId w:val="28"/>
  </w:num>
  <w:num w:numId="31">
    <w:abstractNumId w:val="38"/>
  </w:num>
  <w:num w:numId="32">
    <w:abstractNumId w:val="12"/>
  </w:num>
  <w:num w:numId="33">
    <w:abstractNumId w:val="27"/>
  </w:num>
  <w:num w:numId="34">
    <w:abstractNumId w:val="19"/>
  </w:num>
  <w:num w:numId="35">
    <w:abstractNumId w:val="13"/>
  </w:num>
  <w:num w:numId="36">
    <w:abstractNumId w:val="33"/>
  </w:num>
  <w:num w:numId="37">
    <w:abstractNumId w:val="30"/>
    <w:lvlOverride w:ilvl="0">
      <w:startOverride w:val="1"/>
    </w:lvlOverride>
  </w:num>
  <w:num w:numId="38">
    <w:abstractNumId w:val="30"/>
    <w:lvlOverride w:ilvl="0">
      <w:startOverride w:val="1"/>
    </w:lvlOverride>
  </w:num>
  <w:num w:numId="39">
    <w:abstractNumId w:val="35"/>
  </w:num>
  <w:num w:numId="40">
    <w:abstractNumId w:val="36"/>
  </w:num>
  <w:num w:numId="41">
    <w:abstractNumId w:val="30"/>
    <w:lvlOverride w:ilvl="0">
      <w:startOverride w:val="1"/>
    </w:lvlOverride>
  </w:num>
  <w:num w:numId="42">
    <w:abstractNumId w:val="17"/>
  </w:num>
  <w:num w:numId="43">
    <w:abstractNumId w:val="30"/>
    <w:lvlOverride w:ilvl="0">
      <w:startOverride w:val="1"/>
    </w:lvlOverride>
  </w:num>
  <w:num w:numId="44">
    <w:abstractNumId w:val="25"/>
  </w:num>
  <w:num w:numId="45">
    <w:abstractNumId w:val="30"/>
    <w:lvlOverride w:ilvl="0">
      <w:startOverride w:val="1"/>
    </w:lvlOverride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05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9C"/>
    <w:rsid w:val="000016B9"/>
    <w:rsid w:val="000068D5"/>
    <w:rsid w:val="00030790"/>
    <w:rsid w:val="00030CC1"/>
    <w:rsid w:val="00034546"/>
    <w:rsid w:val="00036B92"/>
    <w:rsid w:val="000419C1"/>
    <w:rsid w:val="00043B50"/>
    <w:rsid w:val="0005196D"/>
    <w:rsid w:val="00064C45"/>
    <w:rsid w:val="000650AF"/>
    <w:rsid w:val="00065CEA"/>
    <w:rsid w:val="00067FFD"/>
    <w:rsid w:val="00070067"/>
    <w:rsid w:val="00076803"/>
    <w:rsid w:val="00076A30"/>
    <w:rsid w:val="00090A83"/>
    <w:rsid w:val="000A295D"/>
    <w:rsid w:val="000A2FFC"/>
    <w:rsid w:val="000A6B63"/>
    <w:rsid w:val="000B13CB"/>
    <w:rsid w:val="000C3F1E"/>
    <w:rsid w:val="000C6C34"/>
    <w:rsid w:val="000D28B9"/>
    <w:rsid w:val="000F5CCD"/>
    <w:rsid w:val="000F5D86"/>
    <w:rsid w:val="001013BC"/>
    <w:rsid w:val="00116ECE"/>
    <w:rsid w:val="0011798B"/>
    <w:rsid w:val="00126343"/>
    <w:rsid w:val="00145027"/>
    <w:rsid w:val="00147950"/>
    <w:rsid w:val="0015010B"/>
    <w:rsid w:val="001501D9"/>
    <w:rsid w:val="00152AFF"/>
    <w:rsid w:val="00152EB7"/>
    <w:rsid w:val="0016080C"/>
    <w:rsid w:val="001623DE"/>
    <w:rsid w:val="001912A2"/>
    <w:rsid w:val="0019208B"/>
    <w:rsid w:val="001966FA"/>
    <w:rsid w:val="00197666"/>
    <w:rsid w:val="001A0139"/>
    <w:rsid w:val="001A0956"/>
    <w:rsid w:val="001B2021"/>
    <w:rsid w:val="001B4F60"/>
    <w:rsid w:val="001C1FF2"/>
    <w:rsid w:val="001C46FF"/>
    <w:rsid w:val="001D75D1"/>
    <w:rsid w:val="001E7690"/>
    <w:rsid w:val="001E76BA"/>
    <w:rsid w:val="001F5B22"/>
    <w:rsid w:val="001F6B30"/>
    <w:rsid w:val="001F721D"/>
    <w:rsid w:val="002009BA"/>
    <w:rsid w:val="00212346"/>
    <w:rsid w:val="00214A8E"/>
    <w:rsid w:val="00215465"/>
    <w:rsid w:val="002507F9"/>
    <w:rsid w:val="00254ADA"/>
    <w:rsid w:val="00266A8F"/>
    <w:rsid w:val="002846D8"/>
    <w:rsid w:val="00287C96"/>
    <w:rsid w:val="002A0832"/>
    <w:rsid w:val="002A5458"/>
    <w:rsid w:val="002C6B74"/>
    <w:rsid w:val="002D33BC"/>
    <w:rsid w:val="002E2F84"/>
    <w:rsid w:val="002E7655"/>
    <w:rsid w:val="003238CE"/>
    <w:rsid w:val="00333950"/>
    <w:rsid w:val="003439ED"/>
    <w:rsid w:val="00354F6D"/>
    <w:rsid w:val="00355963"/>
    <w:rsid w:val="003633F5"/>
    <w:rsid w:val="003638E1"/>
    <w:rsid w:val="003665D7"/>
    <w:rsid w:val="00374747"/>
    <w:rsid w:val="00376A58"/>
    <w:rsid w:val="0037744F"/>
    <w:rsid w:val="00385078"/>
    <w:rsid w:val="003A641C"/>
    <w:rsid w:val="003A6FBE"/>
    <w:rsid w:val="003B13F4"/>
    <w:rsid w:val="003B3461"/>
    <w:rsid w:val="003D4DBC"/>
    <w:rsid w:val="00407FD2"/>
    <w:rsid w:val="00411A3D"/>
    <w:rsid w:val="004439BD"/>
    <w:rsid w:val="00444A6D"/>
    <w:rsid w:val="004502A1"/>
    <w:rsid w:val="00452B15"/>
    <w:rsid w:val="004563B4"/>
    <w:rsid w:val="00472E5E"/>
    <w:rsid w:val="00481CE3"/>
    <w:rsid w:val="00482E0B"/>
    <w:rsid w:val="004840D8"/>
    <w:rsid w:val="00496C0F"/>
    <w:rsid w:val="00496CD4"/>
    <w:rsid w:val="004B4981"/>
    <w:rsid w:val="004C10AE"/>
    <w:rsid w:val="004C1925"/>
    <w:rsid w:val="004C1ABD"/>
    <w:rsid w:val="004C1FD7"/>
    <w:rsid w:val="004C32CA"/>
    <w:rsid w:val="004D332D"/>
    <w:rsid w:val="004E69B5"/>
    <w:rsid w:val="004F131E"/>
    <w:rsid w:val="004F3D98"/>
    <w:rsid w:val="004F5B70"/>
    <w:rsid w:val="004F74DA"/>
    <w:rsid w:val="005014D9"/>
    <w:rsid w:val="00503E7E"/>
    <w:rsid w:val="00512E77"/>
    <w:rsid w:val="005327B4"/>
    <w:rsid w:val="0053763A"/>
    <w:rsid w:val="0056124D"/>
    <w:rsid w:val="005639FB"/>
    <w:rsid w:val="005654E8"/>
    <w:rsid w:val="005661B1"/>
    <w:rsid w:val="00576D35"/>
    <w:rsid w:val="0058377A"/>
    <w:rsid w:val="00586AC8"/>
    <w:rsid w:val="005A60DB"/>
    <w:rsid w:val="005B369E"/>
    <w:rsid w:val="005C54B5"/>
    <w:rsid w:val="005C72CC"/>
    <w:rsid w:val="005D5D24"/>
    <w:rsid w:val="005E5305"/>
    <w:rsid w:val="00600625"/>
    <w:rsid w:val="006046FF"/>
    <w:rsid w:val="00604F69"/>
    <w:rsid w:val="00606617"/>
    <w:rsid w:val="00621A85"/>
    <w:rsid w:val="00622565"/>
    <w:rsid w:val="0063036E"/>
    <w:rsid w:val="00632F54"/>
    <w:rsid w:val="00633AF4"/>
    <w:rsid w:val="00634526"/>
    <w:rsid w:val="00635C80"/>
    <w:rsid w:val="006515F5"/>
    <w:rsid w:val="006610FF"/>
    <w:rsid w:val="00665B9F"/>
    <w:rsid w:val="006676AA"/>
    <w:rsid w:val="00680C6F"/>
    <w:rsid w:val="00683977"/>
    <w:rsid w:val="00685229"/>
    <w:rsid w:val="0069624A"/>
    <w:rsid w:val="006A26F1"/>
    <w:rsid w:val="006A2843"/>
    <w:rsid w:val="006A6360"/>
    <w:rsid w:val="006B489C"/>
    <w:rsid w:val="006C1037"/>
    <w:rsid w:val="006C6925"/>
    <w:rsid w:val="006D2273"/>
    <w:rsid w:val="006D5CDC"/>
    <w:rsid w:val="006F7929"/>
    <w:rsid w:val="0073089A"/>
    <w:rsid w:val="00744530"/>
    <w:rsid w:val="0076392F"/>
    <w:rsid w:val="0078138D"/>
    <w:rsid w:val="00787D9C"/>
    <w:rsid w:val="007903B1"/>
    <w:rsid w:val="0079069F"/>
    <w:rsid w:val="007A382E"/>
    <w:rsid w:val="007A3EFC"/>
    <w:rsid w:val="007D1FEC"/>
    <w:rsid w:val="007D26DC"/>
    <w:rsid w:val="007D5985"/>
    <w:rsid w:val="007E76A2"/>
    <w:rsid w:val="0080522C"/>
    <w:rsid w:val="00810221"/>
    <w:rsid w:val="00810457"/>
    <w:rsid w:val="00813A2B"/>
    <w:rsid w:val="00815AAF"/>
    <w:rsid w:val="008266EE"/>
    <w:rsid w:val="00826FDC"/>
    <w:rsid w:val="00832B4A"/>
    <w:rsid w:val="008459DC"/>
    <w:rsid w:val="00846695"/>
    <w:rsid w:val="00847A34"/>
    <w:rsid w:val="0086024E"/>
    <w:rsid w:val="00860B3E"/>
    <w:rsid w:val="00872074"/>
    <w:rsid w:val="0087245D"/>
    <w:rsid w:val="00875C35"/>
    <w:rsid w:val="00886A94"/>
    <w:rsid w:val="0089332C"/>
    <w:rsid w:val="008A2D11"/>
    <w:rsid w:val="008A4E00"/>
    <w:rsid w:val="008A593B"/>
    <w:rsid w:val="008C1370"/>
    <w:rsid w:val="008D0D46"/>
    <w:rsid w:val="008D2D94"/>
    <w:rsid w:val="008F0D7F"/>
    <w:rsid w:val="008F1994"/>
    <w:rsid w:val="008F2743"/>
    <w:rsid w:val="008F3EB6"/>
    <w:rsid w:val="00913147"/>
    <w:rsid w:val="009178FB"/>
    <w:rsid w:val="0092592D"/>
    <w:rsid w:val="00936F16"/>
    <w:rsid w:val="00937B2B"/>
    <w:rsid w:val="00941A30"/>
    <w:rsid w:val="00943CD0"/>
    <w:rsid w:val="00947539"/>
    <w:rsid w:val="0096313F"/>
    <w:rsid w:val="00966ABA"/>
    <w:rsid w:val="00975520"/>
    <w:rsid w:val="009972DF"/>
    <w:rsid w:val="009B7419"/>
    <w:rsid w:val="009E391E"/>
    <w:rsid w:val="009E4EC4"/>
    <w:rsid w:val="009F7A67"/>
    <w:rsid w:val="00A26CE5"/>
    <w:rsid w:val="00A53F9C"/>
    <w:rsid w:val="00A56436"/>
    <w:rsid w:val="00A61059"/>
    <w:rsid w:val="00A61615"/>
    <w:rsid w:val="00A7771C"/>
    <w:rsid w:val="00A80C2F"/>
    <w:rsid w:val="00AA110E"/>
    <w:rsid w:val="00AA2AC5"/>
    <w:rsid w:val="00AA618D"/>
    <w:rsid w:val="00AA6E5F"/>
    <w:rsid w:val="00AB33D4"/>
    <w:rsid w:val="00AB3779"/>
    <w:rsid w:val="00AB6DED"/>
    <w:rsid w:val="00AB7D32"/>
    <w:rsid w:val="00AC052E"/>
    <w:rsid w:val="00AC5820"/>
    <w:rsid w:val="00AD07F5"/>
    <w:rsid w:val="00AD09B3"/>
    <w:rsid w:val="00AD606C"/>
    <w:rsid w:val="00AD74EF"/>
    <w:rsid w:val="00AE2693"/>
    <w:rsid w:val="00AE3B5A"/>
    <w:rsid w:val="00AE3E57"/>
    <w:rsid w:val="00AE3FE5"/>
    <w:rsid w:val="00AE6BD7"/>
    <w:rsid w:val="00AF112C"/>
    <w:rsid w:val="00AF120D"/>
    <w:rsid w:val="00AF15C7"/>
    <w:rsid w:val="00AF4E7F"/>
    <w:rsid w:val="00B02277"/>
    <w:rsid w:val="00B23196"/>
    <w:rsid w:val="00B373F8"/>
    <w:rsid w:val="00B51C5D"/>
    <w:rsid w:val="00B525C2"/>
    <w:rsid w:val="00B52648"/>
    <w:rsid w:val="00B6508B"/>
    <w:rsid w:val="00B70B52"/>
    <w:rsid w:val="00B71D00"/>
    <w:rsid w:val="00B7492E"/>
    <w:rsid w:val="00BA2F3B"/>
    <w:rsid w:val="00BA7C3B"/>
    <w:rsid w:val="00BB3989"/>
    <w:rsid w:val="00BC1C24"/>
    <w:rsid w:val="00BC21E9"/>
    <w:rsid w:val="00BC6211"/>
    <w:rsid w:val="00C07C42"/>
    <w:rsid w:val="00C140C2"/>
    <w:rsid w:val="00C17AE1"/>
    <w:rsid w:val="00C34A60"/>
    <w:rsid w:val="00C34F4D"/>
    <w:rsid w:val="00C355BA"/>
    <w:rsid w:val="00C46E8A"/>
    <w:rsid w:val="00C62C7A"/>
    <w:rsid w:val="00C74C6D"/>
    <w:rsid w:val="00C777B3"/>
    <w:rsid w:val="00C82173"/>
    <w:rsid w:val="00C837F2"/>
    <w:rsid w:val="00C85938"/>
    <w:rsid w:val="00C973B7"/>
    <w:rsid w:val="00C97B5B"/>
    <w:rsid w:val="00CB5B48"/>
    <w:rsid w:val="00CB7CEE"/>
    <w:rsid w:val="00CC355D"/>
    <w:rsid w:val="00CC521C"/>
    <w:rsid w:val="00CC5A22"/>
    <w:rsid w:val="00CC779E"/>
    <w:rsid w:val="00CE5298"/>
    <w:rsid w:val="00CF5A26"/>
    <w:rsid w:val="00D05E52"/>
    <w:rsid w:val="00D2026C"/>
    <w:rsid w:val="00D249CA"/>
    <w:rsid w:val="00D24F1A"/>
    <w:rsid w:val="00D40FC6"/>
    <w:rsid w:val="00D447E2"/>
    <w:rsid w:val="00D4548E"/>
    <w:rsid w:val="00D51B7A"/>
    <w:rsid w:val="00D5471F"/>
    <w:rsid w:val="00D57C27"/>
    <w:rsid w:val="00D60DC0"/>
    <w:rsid w:val="00D63564"/>
    <w:rsid w:val="00D7299A"/>
    <w:rsid w:val="00D72E45"/>
    <w:rsid w:val="00D760F0"/>
    <w:rsid w:val="00D770F0"/>
    <w:rsid w:val="00D85F68"/>
    <w:rsid w:val="00D901D8"/>
    <w:rsid w:val="00DA0E8F"/>
    <w:rsid w:val="00DA3B5B"/>
    <w:rsid w:val="00DA65A0"/>
    <w:rsid w:val="00DA78C9"/>
    <w:rsid w:val="00DB04F9"/>
    <w:rsid w:val="00DB064A"/>
    <w:rsid w:val="00DB76EC"/>
    <w:rsid w:val="00DD1627"/>
    <w:rsid w:val="00DD35A4"/>
    <w:rsid w:val="00DD6496"/>
    <w:rsid w:val="00DE07E1"/>
    <w:rsid w:val="00DE3AF3"/>
    <w:rsid w:val="00DE454F"/>
    <w:rsid w:val="00DE6B0B"/>
    <w:rsid w:val="00E020B6"/>
    <w:rsid w:val="00E04B06"/>
    <w:rsid w:val="00E072DA"/>
    <w:rsid w:val="00E20794"/>
    <w:rsid w:val="00E25F01"/>
    <w:rsid w:val="00E27E63"/>
    <w:rsid w:val="00E30105"/>
    <w:rsid w:val="00E360C9"/>
    <w:rsid w:val="00E43F8B"/>
    <w:rsid w:val="00E561E7"/>
    <w:rsid w:val="00E60467"/>
    <w:rsid w:val="00E620AE"/>
    <w:rsid w:val="00E670FD"/>
    <w:rsid w:val="00E73300"/>
    <w:rsid w:val="00E73B61"/>
    <w:rsid w:val="00E817B2"/>
    <w:rsid w:val="00E86A6E"/>
    <w:rsid w:val="00E932AC"/>
    <w:rsid w:val="00E93F07"/>
    <w:rsid w:val="00EC7585"/>
    <w:rsid w:val="00EE5BC7"/>
    <w:rsid w:val="00EF0877"/>
    <w:rsid w:val="00EF10CE"/>
    <w:rsid w:val="00F04053"/>
    <w:rsid w:val="00F05E53"/>
    <w:rsid w:val="00F11E01"/>
    <w:rsid w:val="00F12F2B"/>
    <w:rsid w:val="00F141C9"/>
    <w:rsid w:val="00F15362"/>
    <w:rsid w:val="00F331DE"/>
    <w:rsid w:val="00F36DD9"/>
    <w:rsid w:val="00F37667"/>
    <w:rsid w:val="00F53D3C"/>
    <w:rsid w:val="00F6236E"/>
    <w:rsid w:val="00F65D04"/>
    <w:rsid w:val="00F75D11"/>
    <w:rsid w:val="00F763D0"/>
    <w:rsid w:val="00F875BD"/>
    <w:rsid w:val="00FA6C39"/>
    <w:rsid w:val="00FA7E9D"/>
    <w:rsid w:val="00FB1226"/>
    <w:rsid w:val="00FB3938"/>
    <w:rsid w:val="00FE0459"/>
    <w:rsid w:val="00FE2BD7"/>
    <w:rsid w:val="00FE631C"/>
    <w:rsid w:val="00FF0A9E"/>
    <w:rsid w:val="00FF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1D33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A34"/>
    <w:pPr>
      <w:spacing w:line="250" w:lineRule="exact"/>
    </w:pPr>
    <w:rPr>
      <w:rFonts w:cs="Times New Roman"/>
      <w:sz w:val="21"/>
      <w:szCs w:val="21"/>
      <w:lang w:eastAsia="en-AU"/>
    </w:rPr>
  </w:style>
  <w:style w:type="paragraph" w:styleId="Heading1">
    <w:name w:val="heading 1"/>
    <w:next w:val="Heading2"/>
    <w:link w:val="Heading1Char"/>
    <w:uiPriority w:val="9"/>
    <w:qFormat/>
    <w:rsid w:val="004502A1"/>
    <w:pPr>
      <w:keepNext/>
      <w:suppressAutoHyphens/>
      <w:spacing w:before="360" w:after="120" w:line="440" w:lineRule="exact"/>
      <w:outlineLvl w:val="0"/>
    </w:pPr>
    <w:rPr>
      <w:rFonts w:asciiTheme="majorHAnsi" w:eastAsiaTheme="majorEastAsia" w:hAnsiTheme="majorHAnsi" w:cstheme="majorBidi"/>
      <w:bCs/>
      <w:caps/>
      <w:color w:val="482D8C" w:themeColor="background2"/>
      <w:spacing w:val="-20"/>
      <w:kern w:val="36"/>
      <w:sz w:val="44"/>
      <w:szCs w:val="48"/>
      <w:lang w:eastAsia="en-AU"/>
    </w:rPr>
  </w:style>
  <w:style w:type="paragraph" w:styleId="Heading2">
    <w:name w:val="heading 2"/>
    <w:basedOn w:val="Normal"/>
    <w:next w:val="Heading3"/>
    <w:link w:val="Heading2Char"/>
    <w:uiPriority w:val="9"/>
    <w:unhideWhenUsed/>
    <w:qFormat/>
    <w:rsid w:val="004502A1"/>
    <w:pPr>
      <w:keepNext/>
      <w:suppressAutoHyphens/>
      <w:spacing w:before="240" w:after="60" w:line="300" w:lineRule="exact"/>
      <w:outlineLvl w:val="1"/>
    </w:pPr>
    <w:rPr>
      <w:rFonts w:asciiTheme="majorHAnsi" w:hAnsiTheme="majorHAnsi"/>
      <w:caps/>
      <w:color w:val="00AEEF" w:themeColor="text2"/>
      <w:sz w:val="30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0C2F"/>
    <w:pPr>
      <w:keepNext/>
      <w:suppressAutoHyphens/>
      <w:spacing w:before="200" w:after="60" w:line="240" w:lineRule="exact"/>
      <w:outlineLvl w:val="2"/>
    </w:pPr>
    <w:rPr>
      <w:rFonts w:asciiTheme="majorHAnsi" w:hAnsiTheme="majorHAnsi"/>
      <w:b/>
      <w:caps/>
      <w:color w:val="323232" w:themeColor="accent1"/>
      <w:sz w:val="24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E020B6"/>
    <w:pPr>
      <w:keepNext/>
      <w:spacing w:before="200" w:after="60" w:line="240" w:lineRule="exact"/>
      <w:outlineLvl w:val="3"/>
    </w:pPr>
    <w:rPr>
      <w:rFonts w:asciiTheme="majorHAnsi" w:hAnsiTheme="majorHAnsi"/>
      <w:bCs/>
      <w:color w:val="482D8C" w:themeColor="background2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27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5252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20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8181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2A1"/>
    <w:rPr>
      <w:rFonts w:asciiTheme="majorHAnsi" w:eastAsiaTheme="majorEastAsia" w:hAnsiTheme="majorHAnsi" w:cstheme="majorBidi"/>
      <w:bCs/>
      <w:caps/>
      <w:color w:val="482D8C" w:themeColor="background2"/>
      <w:spacing w:val="-20"/>
      <w:kern w:val="36"/>
      <w:sz w:val="44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502A1"/>
    <w:rPr>
      <w:rFonts w:asciiTheme="majorHAnsi" w:hAnsiTheme="majorHAnsi" w:cs="Times New Roman"/>
      <w:caps/>
      <w:color w:val="00AEEF" w:themeColor="text2"/>
      <w:sz w:val="30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80C2F"/>
    <w:rPr>
      <w:rFonts w:asciiTheme="majorHAnsi" w:hAnsiTheme="majorHAnsi" w:cs="Times New Roman"/>
      <w:b/>
      <w:caps/>
      <w:color w:val="323232" w:themeColor="accent1"/>
      <w:sz w:val="24"/>
      <w:szCs w:val="28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E020B6"/>
    <w:rPr>
      <w:rFonts w:asciiTheme="majorHAnsi" w:hAnsiTheme="majorHAnsi" w:cs="Times New Roman"/>
      <w:bCs/>
      <w:color w:val="482D8C" w:themeColor="background2"/>
      <w:sz w:val="24"/>
      <w:szCs w:val="28"/>
      <w:lang w:eastAsia="en-AU"/>
    </w:rPr>
  </w:style>
  <w:style w:type="character" w:styleId="Hyperlink">
    <w:name w:val="Hyperlink"/>
    <w:basedOn w:val="DefaultParagraphFont"/>
    <w:uiPriority w:val="99"/>
    <w:unhideWhenUsed/>
    <w:rsid w:val="0037744F"/>
    <w:rPr>
      <w:rFonts w:asciiTheme="minorHAnsi" w:hAnsiTheme="minorHAnsi"/>
      <w:color w:val="005677" w:themeColor="text2" w:themeShade="80"/>
      <w:u w:val="single"/>
    </w:rPr>
  </w:style>
  <w:style w:type="paragraph" w:styleId="TOC1">
    <w:name w:val="toc 1"/>
    <w:basedOn w:val="Normal"/>
    <w:autoRedefine/>
    <w:uiPriority w:val="39"/>
    <w:unhideWhenUsed/>
    <w:rsid w:val="0087245D"/>
    <w:pPr>
      <w:keepNext/>
      <w:tabs>
        <w:tab w:val="right" w:leader="dot" w:pos="9060"/>
      </w:tabs>
      <w:spacing w:before="240" w:after="120" w:line="240" w:lineRule="exact"/>
    </w:pPr>
    <w:rPr>
      <w:rFonts w:asciiTheme="majorHAnsi" w:hAnsiTheme="majorHAnsi"/>
      <w:caps/>
      <w:noProof/>
      <w:color w:val="482D8C" w:themeColor="background2"/>
      <w:sz w:val="36"/>
      <w:szCs w:val="40"/>
    </w:rPr>
  </w:style>
  <w:style w:type="paragraph" w:styleId="TOC2">
    <w:name w:val="toc 2"/>
    <w:basedOn w:val="Normal"/>
    <w:autoRedefine/>
    <w:uiPriority w:val="39"/>
    <w:unhideWhenUsed/>
    <w:rsid w:val="00CC355D"/>
    <w:pPr>
      <w:keepNext/>
      <w:spacing w:before="200" w:after="120" w:line="320" w:lineRule="exact"/>
      <w:ind w:left="210"/>
    </w:pPr>
    <w:rPr>
      <w:rFonts w:asciiTheme="majorHAnsi" w:hAnsiTheme="majorHAnsi"/>
      <w:caps/>
      <w:color w:val="00AEEF" w:themeColor="text2"/>
      <w:sz w:val="24"/>
      <w:szCs w:val="32"/>
    </w:rPr>
  </w:style>
  <w:style w:type="paragraph" w:styleId="TOC3">
    <w:name w:val="toc 3"/>
    <w:basedOn w:val="Normal"/>
    <w:autoRedefine/>
    <w:uiPriority w:val="39"/>
    <w:unhideWhenUsed/>
    <w:rsid w:val="00D5471F"/>
    <w:pPr>
      <w:keepNext/>
      <w:spacing w:before="200" w:after="120" w:line="240" w:lineRule="exact"/>
      <w:ind w:left="420"/>
    </w:pPr>
    <w:rPr>
      <w:rFonts w:asciiTheme="majorHAnsi" w:hAnsiTheme="majorHAnsi"/>
      <w:caps/>
      <w:color w:val="323232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4502A1"/>
    <w:pPr>
      <w:spacing w:after="120" w:line="680" w:lineRule="exact"/>
    </w:pPr>
    <w:rPr>
      <w:rFonts w:asciiTheme="majorHAnsi" w:hAnsiTheme="majorHAnsi"/>
      <w:caps/>
      <w:color w:val="00AEEF" w:themeColor="text2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02A1"/>
    <w:rPr>
      <w:rFonts w:asciiTheme="majorHAnsi" w:hAnsiTheme="majorHAnsi" w:cs="Times New Roman"/>
      <w:caps/>
      <w:color w:val="00AEEF" w:themeColor="text2"/>
      <w:sz w:val="72"/>
      <w:szCs w:val="72"/>
      <w:lang w:eastAsia="en-AU"/>
    </w:rPr>
  </w:style>
  <w:style w:type="paragraph" w:styleId="Subtitle">
    <w:name w:val="Subtitle"/>
    <w:basedOn w:val="Normal"/>
    <w:link w:val="SubtitleChar"/>
    <w:uiPriority w:val="11"/>
    <w:qFormat/>
    <w:rsid w:val="00632F54"/>
    <w:pPr>
      <w:spacing w:line="360" w:lineRule="exact"/>
    </w:pPr>
    <w:rPr>
      <w:rFonts w:asciiTheme="majorHAnsi" w:hAnsiTheme="majorHAnsi"/>
      <w:caps/>
      <w:color w:val="262626"/>
      <w:spacing w:val="15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632F54"/>
    <w:rPr>
      <w:rFonts w:asciiTheme="majorHAnsi" w:hAnsiTheme="majorHAnsi" w:cs="Times New Roman"/>
      <w:caps/>
      <w:color w:val="262626"/>
      <w:spacing w:val="15"/>
      <w:sz w:val="40"/>
      <w:szCs w:val="40"/>
      <w:lang w:eastAsia="en-AU"/>
    </w:rPr>
  </w:style>
  <w:style w:type="paragraph" w:styleId="TOCHeading">
    <w:name w:val="TOC Heading"/>
    <w:basedOn w:val="Normal"/>
    <w:uiPriority w:val="39"/>
    <w:semiHidden/>
    <w:unhideWhenUsed/>
    <w:qFormat/>
    <w:rsid w:val="00AE6BD7"/>
    <w:pPr>
      <w:keepNext/>
      <w:spacing w:before="480" w:after="12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Intro">
    <w:name w:val="Intro"/>
    <w:basedOn w:val="Normal"/>
    <w:rsid w:val="00AE2693"/>
    <w:pPr>
      <w:spacing w:line="300" w:lineRule="exact"/>
    </w:pPr>
    <w:rPr>
      <w:color w:val="323232" w:themeColor="accent1"/>
      <w:sz w:val="25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D5471F"/>
    <w:pPr>
      <w:spacing w:after="100"/>
      <w:ind w:left="630"/>
    </w:pPr>
    <w:rPr>
      <w:color w:val="482D8C" w:themeColor="background2"/>
    </w:rPr>
  </w:style>
  <w:style w:type="paragraph" w:customStyle="1" w:styleId="bulletnumbers">
    <w:name w:val="bullet numbers"/>
    <w:basedOn w:val="Normal"/>
    <w:qFormat/>
    <w:rsid w:val="000C6C34"/>
    <w:pPr>
      <w:numPr>
        <w:numId w:val="18"/>
      </w:numPr>
      <w:spacing w:after="120"/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66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B9F"/>
    <w:rPr>
      <w:rFonts w:ascii="Source Sans Pro" w:hAnsi="Source Sans Pro" w:cs="Times New Roman"/>
      <w:sz w:val="21"/>
      <w:szCs w:val="21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6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B9F"/>
    <w:rPr>
      <w:rFonts w:ascii="Source Sans Pro" w:hAnsi="Source Sans Pro" w:cs="Times New Roman"/>
      <w:sz w:val="21"/>
      <w:szCs w:val="21"/>
      <w:lang w:eastAsia="en-AU"/>
    </w:rPr>
  </w:style>
  <w:style w:type="paragraph" w:customStyle="1" w:styleId="Tablebody">
    <w:name w:val="Table body"/>
    <w:basedOn w:val="BodyText"/>
    <w:uiPriority w:val="1"/>
    <w:qFormat/>
    <w:rsid w:val="00632F54"/>
    <w:pPr>
      <w:widowControl w:val="0"/>
      <w:spacing w:before="120"/>
    </w:pPr>
    <w:rPr>
      <w:rFonts w:eastAsia="Montserrat Light" w:cstheme="minorBidi"/>
      <w:color w:val="262626" w:themeColor="text1" w:themeTint="D9"/>
      <w:szCs w:val="2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632F5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632F5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Tablebody"/>
    <w:uiPriority w:val="1"/>
    <w:qFormat/>
    <w:rsid w:val="00B02277"/>
    <w:rPr>
      <w:rFonts w:asciiTheme="majorHAnsi" w:hAnsiTheme="majorHAnsi"/>
      <w:color w:val="FFFFFF" w:themeColor="background1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32F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F54"/>
    <w:rPr>
      <w:rFonts w:ascii="Source Sans Pro" w:hAnsi="Source Sans Pro" w:cs="Times New Roman"/>
      <w:sz w:val="21"/>
      <w:szCs w:val="21"/>
      <w:lang w:eastAsia="en-AU"/>
    </w:rPr>
  </w:style>
  <w:style w:type="paragraph" w:customStyle="1" w:styleId="Bullet1">
    <w:name w:val="Bullet 1"/>
    <w:basedOn w:val="Normal"/>
    <w:link w:val="Bullet1Char"/>
    <w:qFormat/>
    <w:rsid w:val="00F53D3C"/>
    <w:pPr>
      <w:numPr>
        <w:numId w:val="3"/>
      </w:numPr>
      <w:spacing w:after="60" w:line="240" w:lineRule="auto"/>
    </w:pPr>
    <w:rPr>
      <w:rFonts w:eastAsia="Times New Roman"/>
      <w:sz w:val="22"/>
      <w:szCs w:val="20"/>
      <w:lang w:eastAsia="en-US"/>
    </w:rPr>
  </w:style>
  <w:style w:type="character" w:customStyle="1" w:styleId="Bullet1Char">
    <w:name w:val="Bullet 1 Char"/>
    <w:basedOn w:val="DefaultParagraphFont"/>
    <w:link w:val="Bullet1"/>
    <w:rsid w:val="00F53D3C"/>
    <w:rPr>
      <w:rFonts w:eastAsia="Times New Roman" w:cs="Times New Roman"/>
      <w:szCs w:val="20"/>
    </w:rPr>
  </w:style>
  <w:style w:type="paragraph" w:customStyle="1" w:styleId="Bullet2">
    <w:name w:val="Bullet 2"/>
    <w:basedOn w:val="Bullet1"/>
    <w:link w:val="Bullet2Char"/>
    <w:qFormat/>
    <w:rsid w:val="002A5458"/>
    <w:pPr>
      <w:numPr>
        <w:numId w:val="4"/>
      </w:numPr>
      <w:ind w:left="630" w:hanging="273"/>
    </w:pPr>
  </w:style>
  <w:style w:type="character" w:customStyle="1" w:styleId="Bullet2Char">
    <w:name w:val="Bullet 2 Char"/>
    <w:basedOn w:val="Bullet1Char"/>
    <w:link w:val="Bullet2"/>
    <w:rsid w:val="002A5458"/>
    <w:rPr>
      <w:rFonts w:eastAsia="Times New Roman" w:cs="Times New Roman"/>
      <w:szCs w:val="20"/>
    </w:rPr>
  </w:style>
  <w:style w:type="paragraph" w:customStyle="1" w:styleId="Bullet3">
    <w:name w:val="Bullet 3"/>
    <w:basedOn w:val="Bullet2"/>
    <w:qFormat/>
    <w:rsid w:val="002A5458"/>
    <w:pPr>
      <w:numPr>
        <w:numId w:val="5"/>
      </w:numPr>
      <w:tabs>
        <w:tab w:val="num" w:pos="360"/>
      </w:tabs>
      <w:ind w:left="993" w:hanging="276"/>
    </w:pPr>
  </w:style>
  <w:style w:type="paragraph" w:customStyle="1" w:styleId="Note">
    <w:name w:val="Note"/>
    <w:basedOn w:val="Normal"/>
    <w:link w:val="NoteChar"/>
    <w:qFormat/>
    <w:rsid w:val="00BA2F3B"/>
    <w:pPr>
      <w:keepNext/>
      <w:spacing w:before="60" w:after="120"/>
    </w:pPr>
    <w:rPr>
      <w:rFonts w:eastAsia="Times New Roman"/>
      <w:sz w:val="18"/>
      <w:szCs w:val="16"/>
      <w:lang w:eastAsia="en-US"/>
    </w:rPr>
  </w:style>
  <w:style w:type="character" w:customStyle="1" w:styleId="NoteChar">
    <w:name w:val="Note Char"/>
    <w:link w:val="Note"/>
    <w:rsid w:val="00BA2F3B"/>
    <w:rPr>
      <w:rFonts w:eastAsia="Times New Roman" w:cs="Times New Roman"/>
      <w:sz w:val="18"/>
      <w:szCs w:val="16"/>
    </w:rPr>
  </w:style>
  <w:style w:type="paragraph" w:customStyle="1" w:styleId="Tablefigures">
    <w:name w:val="Table figures"/>
    <w:basedOn w:val="Tabletext"/>
    <w:link w:val="TablefiguresChar"/>
    <w:autoRedefine/>
    <w:qFormat/>
    <w:rsid w:val="0086024E"/>
    <w:pPr>
      <w:jc w:val="right"/>
    </w:pPr>
    <w:rPr>
      <w:bCs w:val="0"/>
    </w:rPr>
  </w:style>
  <w:style w:type="paragraph" w:customStyle="1" w:styleId="Tabletext">
    <w:name w:val="Table text"/>
    <w:basedOn w:val="Normal"/>
    <w:link w:val="TabletextChar"/>
    <w:autoRedefine/>
    <w:qFormat/>
    <w:rsid w:val="000419C1"/>
    <w:pPr>
      <w:spacing w:after="0" w:line="240" w:lineRule="auto"/>
      <w:ind w:left="227" w:hanging="227"/>
    </w:pPr>
    <w:rPr>
      <w:rFonts w:eastAsia="Times New Roman"/>
      <w:bCs/>
      <w:szCs w:val="20"/>
    </w:rPr>
  </w:style>
  <w:style w:type="character" w:customStyle="1" w:styleId="TablefiguresChar">
    <w:name w:val="Table figures Char"/>
    <w:basedOn w:val="DefaultParagraphFont"/>
    <w:link w:val="Tablefigures"/>
    <w:rsid w:val="0086024E"/>
    <w:rPr>
      <w:rFonts w:eastAsia="Times New Roman" w:cs="Times New Roman"/>
      <w:sz w:val="20"/>
      <w:szCs w:val="20"/>
      <w:lang w:eastAsia="en-AU"/>
    </w:rPr>
  </w:style>
  <w:style w:type="character" w:customStyle="1" w:styleId="TabletextChar">
    <w:name w:val="Table text Char"/>
    <w:basedOn w:val="DefaultParagraphFont"/>
    <w:link w:val="Tabletext"/>
    <w:rsid w:val="000419C1"/>
    <w:rPr>
      <w:rFonts w:eastAsia="Times New Roman" w:cs="Times New Roman"/>
      <w:bCs/>
      <w:sz w:val="21"/>
      <w:szCs w:val="20"/>
      <w:lang w:eastAsia="en-AU"/>
    </w:rPr>
  </w:style>
  <w:style w:type="paragraph" w:customStyle="1" w:styleId="Noteslist">
    <w:name w:val="Notes list"/>
    <w:basedOn w:val="Normal"/>
    <w:link w:val="NoteslistChar"/>
    <w:qFormat/>
    <w:rsid w:val="0086024E"/>
    <w:pPr>
      <w:numPr>
        <w:numId w:val="6"/>
      </w:numPr>
      <w:spacing w:after="0" w:line="240" w:lineRule="auto"/>
    </w:pPr>
    <w:rPr>
      <w:rFonts w:eastAsia="Times New Roman"/>
      <w:sz w:val="18"/>
      <w:szCs w:val="24"/>
      <w:lang w:eastAsia="en-US"/>
    </w:rPr>
  </w:style>
  <w:style w:type="character" w:customStyle="1" w:styleId="NoteslistChar">
    <w:name w:val="Notes list Char"/>
    <w:basedOn w:val="DefaultParagraphFont"/>
    <w:link w:val="Noteslist"/>
    <w:rsid w:val="0086024E"/>
    <w:rPr>
      <w:rFonts w:eastAsia="Times New Roman" w:cs="Times New Roman"/>
      <w:sz w:val="18"/>
      <w:szCs w:val="24"/>
    </w:rPr>
  </w:style>
  <w:style w:type="paragraph" w:customStyle="1" w:styleId="TableFiguresheading">
    <w:name w:val="Table Figures_heading"/>
    <w:basedOn w:val="Normal"/>
    <w:link w:val="TableFiguresheadingChar"/>
    <w:qFormat/>
    <w:rsid w:val="007E76A2"/>
    <w:pPr>
      <w:spacing w:after="0" w:line="240" w:lineRule="auto"/>
      <w:jc w:val="right"/>
    </w:pPr>
    <w:rPr>
      <w:rFonts w:eastAsia="Times New Roman"/>
      <w:b/>
      <w:sz w:val="20"/>
      <w:szCs w:val="20"/>
      <w:lang w:eastAsia="en-US"/>
    </w:rPr>
  </w:style>
  <w:style w:type="character" w:customStyle="1" w:styleId="TableFiguresheadingChar">
    <w:name w:val="Table Figures_heading Char"/>
    <w:basedOn w:val="DefaultParagraphFont"/>
    <w:link w:val="TableFiguresheading"/>
    <w:rsid w:val="007E76A2"/>
    <w:rPr>
      <w:rFonts w:eastAsia="Times New Roman" w:cs="Times New Roman"/>
      <w:b/>
      <w:sz w:val="20"/>
      <w:szCs w:val="20"/>
    </w:rPr>
  </w:style>
  <w:style w:type="paragraph" w:customStyle="1" w:styleId="Tabletextbold">
    <w:name w:val="Table text bold"/>
    <w:basedOn w:val="Tabletext"/>
    <w:qFormat/>
    <w:rsid w:val="007D5985"/>
    <w:rPr>
      <w:b/>
    </w:rPr>
  </w:style>
  <w:style w:type="paragraph" w:customStyle="1" w:styleId="TableTextbolditalics">
    <w:name w:val="Table Text bold italics"/>
    <w:basedOn w:val="Tabletext"/>
    <w:qFormat/>
    <w:rsid w:val="007D5985"/>
    <w:rPr>
      <w:b/>
      <w:i/>
    </w:rPr>
  </w:style>
  <w:style w:type="paragraph" w:customStyle="1" w:styleId="TableFiguresbold">
    <w:name w:val="Table Figures bold"/>
    <w:basedOn w:val="Tablefigures"/>
    <w:qFormat/>
    <w:rsid w:val="007D5985"/>
    <w:rPr>
      <w:b/>
    </w:rPr>
  </w:style>
  <w:style w:type="paragraph" w:customStyle="1" w:styleId="TableCaption">
    <w:name w:val="Table Caption"/>
    <w:basedOn w:val="Caption"/>
    <w:rsid w:val="0086024E"/>
    <w:pPr>
      <w:keepNext/>
      <w:spacing w:before="240" w:after="120"/>
    </w:pPr>
    <w:rPr>
      <w:rFonts w:eastAsia="Times New Roman"/>
      <w:color w:val="482D8C"/>
      <w:sz w:val="22"/>
      <w:lang w:eastAsia="en-US"/>
    </w:rPr>
  </w:style>
  <w:style w:type="table" w:customStyle="1" w:styleId="ARTableText">
    <w:name w:val="AR_Table_Text"/>
    <w:basedOn w:val="TableNormal"/>
    <w:uiPriority w:val="99"/>
    <w:qFormat/>
    <w:rsid w:val="000419C1"/>
    <w:pPr>
      <w:spacing w:after="0" w:line="240" w:lineRule="auto"/>
    </w:pPr>
    <w:rPr>
      <w:rFonts w:asciiTheme="majorHAnsi" w:eastAsia="Times New Roman" w:hAnsiTheme="majorHAnsi" w:cs="Times New Roman"/>
      <w:b/>
      <w:sz w:val="21"/>
      <w:szCs w:val="20"/>
      <w:lang w:eastAsia="en-AU"/>
    </w:rPr>
    <w:tblPr>
      <w:tblStyleRowBandSize w:val="1"/>
      <w:tblCellMar>
        <w:top w:w="57" w:type="dxa"/>
        <w:bottom w:w="57" w:type="dxa"/>
      </w:tblCellMar>
    </w:tblPr>
    <w:tcPr>
      <w:shd w:val="clear" w:color="auto" w:fill="E0E0E0"/>
      <w:vAlign w:val="center"/>
    </w:tcPr>
    <w:tblStylePr w:type="firstRow">
      <w:pPr>
        <w:jc w:val="center"/>
      </w:pPr>
      <w:rPr>
        <w:rFonts w:asciiTheme="minorHAnsi" w:hAnsiTheme="minorHAnsi"/>
        <w:b/>
        <w:sz w:val="20"/>
      </w:rPr>
      <w:tblPr/>
      <w:tcPr>
        <w:tcBorders>
          <w:top w:val="single" w:sz="4" w:space="0" w:color="000000"/>
          <w:left w:val="nil"/>
          <w:bottom w:val="single" w:sz="18" w:space="0" w:color="auto"/>
          <w:right w:val="nil"/>
        </w:tcBorders>
        <w:shd w:val="clear" w:color="auto" w:fill="auto"/>
      </w:tcPr>
    </w:tblStylePr>
    <w:tblStylePr w:type="lastRow">
      <w:rPr>
        <w:rFonts w:asciiTheme="minorHAnsi" w:hAnsiTheme="minorHAnsi"/>
        <w:sz w:val="20"/>
      </w:rPr>
      <w:tblPr/>
      <w:tcPr>
        <w:tcBorders>
          <w:bottom w:val="dotted" w:sz="6" w:space="0" w:color="auto"/>
        </w:tcBorders>
        <w:shd w:val="clear" w:color="auto" w:fill="ECECEC"/>
      </w:tcPr>
    </w:tblStylePr>
    <w:tblStylePr w:type="firstCol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</w:tcPr>
    </w:tblStylePr>
    <w:tblStylePr w:type="band2Horz"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</w:tcPr>
    </w:tblStylePr>
  </w:style>
  <w:style w:type="paragraph" w:customStyle="1" w:styleId="Tableheading">
    <w:name w:val="Table heading"/>
    <w:qFormat/>
    <w:rsid w:val="00C85938"/>
    <w:pPr>
      <w:spacing w:after="0"/>
    </w:pPr>
    <w:rPr>
      <w:rFonts w:eastAsia="Times New Roman" w:cs="Times New Roman"/>
      <w:sz w:val="21"/>
      <w:szCs w:val="21"/>
      <w:lang w:eastAsia="en-AU"/>
    </w:rPr>
  </w:style>
  <w:style w:type="table" w:customStyle="1" w:styleId="ARTableFigures">
    <w:name w:val="AR_Table_Figures"/>
    <w:basedOn w:val="ARTableText"/>
    <w:uiPriority w:val="99"/>
    <w:qFormat/>
    <w:rsid w:val="007D5985"/>
    <w:pPr>
      <w:jc w:val="right"/>
    </w:pPr>
    <w:tblPr/>
    <w:tcPr>
      <w:shd w:val="clear" w:color="auto" w:fill="E0E0E0"/>
    </w:tcPr>
    <w:tblStylePr w:type="firstRow">
      <w:pPr>
        <w:jc w:val="right"/>
      </w:pPr>
      <w:rPr>
        <w:rFonts w:asciiTheme="minorHAnsi" w:hAnsiTheme="minorHAnsi"/>
        <w:b/>
        <w:sz w:val="20"/>
      </w:rPr>
      <w:tblPr/>
      <w:tcPr>
        <w:tcBorders>
          <w:top w:val="single" w:sz="4" w:space="0" w:color="000000"/>
          <w:left w:val="nil"/>
          <w:bottom w:val="single" w:sz="18" w:space="0" w:color="auto"/>
          <w:right w:val="nil"/>
        </w:tcBorders>
        <w:shd w:val="clear" w:color="auto" w:fill="auto"/>
      </w:tcPr>
    </w:tblStylePr>
    <w:tblStylePr w:type="lastRow">
      <w:rPr>
        <w:rFonts w:asciiTheme="minorHAnsi" w:hAnsiTheme="minorHAnsi"/>
        <w:sz w:val="20"/>
      </w:rPr>
      <w:tblPr/>
      <w:tcPr>
        <w:tcBorders>
          <w:bottom w:val="dotted" w:sz="6" w:space="0" w:color="auto"/>
        </w:tcBorders>
        <w:shd w:val="clear" w:color="auto" w:fill="D9D9D9" w:themeFill="background1" w:themeFillShade="D9"/>
      </w:tcPr>
    </w:tblStylePr>
    <w:tblStylePr w:type="firstCol">
      <w:pPr>
        <w:jc w:val="left"/>
      </w:pPr>
      <w:rPr>
        <w:rFonts w:asciiTheme="minorHAnsi" w:hAnsiTheme="minorHAnsi"/>
        <w:sz w:val="20"/>
      </w:rPr>
      <w:tblPr/>
      <w:tcPr>
        <w:vAlign w:val="center"/>
      </w:tcPr>
    </w:tblStylePr>
    <w:tblStylePr w:type="band1Horz">
      <w:pPr>
        <w:jc w:val="righ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  <w:vAlign w:val="center"/>
      </w:tcPr>
    </w:tblStylePr>
    <w:tblStylePr w:type="band2Horz">
      <w:pPr>
        <w:jc w:val="right"/>
      </w:pPr>
      <w:rPr>
        <w:rFonts w:asciiTheme="minorHAnsi" w:hAnsiTheme="minorHAnsi"/>
        <w:sz w:val="18"/>
      </w:rPr>
      <w:tblPr/>
      <w:tcPr>
        <w:tcBorders>
          <w:bottom w:val="dotted" w:sz="6" w:space="0" w:color="auto"/>
        </w:tcBorders>
        <w:shd w:val="clear" w:color="auto" w:fill="auto"/>
        <w:vAlign w:val="center"/>
      </w:tcPr>
    </w:tblStylePr>
  </w:style>
  <w:style w:type="table" w:customStyle="1" w:styleId="LightShading1">
    <w:name w:val="Light Shading1"/>
    <w:basedOn w:val="TableNormal"/>
    <w:uiPriority w:val="60"/>
    <w:rsid w:val="007903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D598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D5985"/>
    <w:rPr>
      <w:rFonts w:cs="Times New Roman"/>
      <w:sz w:val="21"/>
      <w:szCs w:val="21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5E5305"/>
    <w:pPr>
      <w:spacing w:before="200" w:line="220" w:lineRule="exact"/>
    </w:pPr>
    <w:rPr>
      <w:bCs/>
      <w:i/>
      <w:color w:val="323232" w:themeColor="accent1"/>
      <w:sz w:val="18"/>
      <w:szCs w:val="18"/>
    </w:rPr>
  </w:style>
  <w:style w:type="table" w:styleId="LightShading-Accent2">
    <w:name w:val="Light Shading Accent 2"/>
    <w:basedOn w:val="TableNormal"/>
    <w:uiPriority w:val="60"/>
    <w:rsid w:val="001912A2"/>
    <w:pPr>
      <w:spacing w:after="0" w:line="240" w:lineRule="auto"/>
    </w:pPr>
    <w:rPr>
      <w:color w:val="6D6F63" w:themeColor="accent2" w:themeShade="BF"/>
    </w:rPr>
    <w:tblPr>
      <w:tblStyleRowBandSize w:val="1"/>
      <w:tblStyleColBandSize w:val="1"/>
      <w:tblBorders>
        <w:top w:val="single" w:sz="8" w:space="0" w:color="929487" w:themeColor="accent2"/>
        <w:bottom w:val="single" w:sz="8" w:space="0" w:color="929487" w:themeColor="accent2"/>
      </w:tblBorders>
      <w:tblCellMar>
        <w:top w:w="113" w:type="dxa"/>
        <w:bottom w:w="113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29487" w:themeColor="accent2"/>
          <w:left w:val="nil"/>
          <w:bottom w:val="single" w:sz="8" w:space="0" w:color="92948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29487" w:themeColor="accent2"/>
          <w:left w:val="nil"/>
          <w:bottom w:val="single" w:sz="8" w:space="0" w:color="92948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4E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4E1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9B7419"/>
    <w:pPr>
      <w:spacing w:after="0" w:line="240" w:lineRule="auto"/>
    </w:pPr>
    <w:tblPr>
      <w:tblStyleRowBandSize w:val="1"/>
      <w:tblStyleColBandSize w:val="1"/>
      <w:tblBorders>
        <w:top w:val="single" w:sz="8" w:space="0" w:color="929487" w:themeColor="accent2"/>
        <w:left w:val="single" w:sz="8" w:space="0" w:color="929487" w:themeColor="accent2"/>
        <w:bottom w:val="single" w:sz="8" w:space="0" w:color="929487" w:themeColor="accent2"/>
        <w:right w:val="single" w:sz="8" w:space="0" w:color="92948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2948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  <w:tblStylePr w:type="band1Horz">
      <w:tblPr/>
      <w:tcPr>
        <w:tcBorders>
          <w:top w:val="single" w:sz="8" w:space="0" w:color="929487" w:themeColor="accent2"/>
          <w:left w:val="single" w:sz="8" w:space="0" w:color="929487" w:themeColor="accent2"/>
          <w:bottom w:val="single" w:sz="8" w:space="0" w:color="929487" w:themeColor="accent2"/>
          <w:right w:val="single" w:sz="8" w:space="0" w:color="929487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9B7419"/>
    <w:pPr>
      <w:spacing w:after="0" w:line="240" w:lineRule="auto"/>
    </w:pPr>
    <w:tblPr>
      <w:tblStyleRowBandSize w:val="1"/>
      <w:tblStyleColBandSize w:val="1"/>
      <w:tblBorders>
        <w:insideH w:val="single" w:sz="8" w:space="0" w:color="92948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AEA4" w:themeColor="accent2" w:themeTint="BF"/>
          <w:left w:val="single" w:sz="8" w:space="0" w:color="ADAEA4" w:themeColor="accent2" w:themeTint="BF"/>
          <w:bottom w:val="single" w:sz="8" w:space="0" w:color="ADAEA4" w:themeColor="accent2" w:themeTint="BF"/>
          <w:right w:val="single" w:sz="8" w:space="0" w:color="ADAEA4" w:themeColor="accent2" w:themeTint="BF"/>
          <w:insideH w:val="nil"/>
          <w:insideV w:val="nil"/>
        </w:tcBorders>
        <w:shd w:val="clear" w:color="auto" w:fill="92948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AEA4" w:themeColor="accent2" w:themeTint="BF"/>
          <w:left w:val="single" w:sz="8" w:space="0" w:color="ADAEA4" w:themeColor="accent2" w:themeTint="BF"/>
          <w:bottom w:val="single" w:sz="8" w:space="0" w:color="ADAEA4" w:themeColor="accent2" w:themeTint="BF"/>
          <w:right w:val="single" w:sz="8" w:space="0" w:color="ADAEA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4E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2A1"/>
    <w:rPr>
      <w:rFonts w:ascii="Tahoma" w:hAnsi="Tahoma" w:cs="Tahoma"/>
      <w:sz w:val="16"/>
      <w:szCs w:val="16"/>
      <w:lang w:eastAsia="en-AU"/>
    </w:rPr>
  </w:style>
  <w:style w:type="character" w:styleId="Strong">
    <w:name w:val="Strong"/>
    <w:basedOn w:val="DefaultParagraphFont"/>
    <w:uiPriority w:val="22"/>
    <w:qFormat/>
    <w:rsid w:val="00C85938"/>
    <w:rPr>
      <w:b/>
      <w:bCs/>
    </w:rPr>
  </w:style>
  <w:style w:type="paragraph" w:styleId="NoSpacing">
    <w:name w:val="No Spacing"/>
    <w:link w:val="NoSpacingChar"/>
    <w:uiPriority w:val="1"/>
    <w:qFormat/>
    <w:rsid w:val="00F875B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875BD"/>
    <w:rPr>
      <w:rFonts w:eastAsiaTheme="minorEastAsia"/>
      <w:lang w:val="en-US"/>
    </w:rPr>
  </w:style>
  <w:style w:type="paragraph" w:styleId="ListParagraph">
    <w:name w:val="List Paragraph"/>
    <w:aliases w:val="lp1,numbered,Paragraphe de liste1,Bulletr List Paragraph,列出段落,列出段落1,List Paragraph2,List Paragraph21,Listeafsnit1,Parágrafo da Lista1,Bullet list,Párrafo de lista1,リスト段落1,List Paragraph11,Foot,FooterText,Bullet List,standard lewis,Bullets"/>
    <w:basedOn w:val="Normal"/>
    <w:uiPriority w:val="34"/>
    <w:qFormat/>
    <w:rsid w:val="00AA6E5F"/>
    <w:pPr>
      <w:ind w:left="720"/>
      <w:contextualSpacing/>
    </w:pPr>
  </w:style>
  <w:style w:type="paragraph" w:customStyle="1" w:styleId="Tableheadbold">
    <w:name w:val="Table head bold"/>
    <w:basedOn w:val="Normal"/>
    <w:next w:val="Tablebody"/>
    <w:qFormat/>
    <w:rsid w:val="004B4981"/>
    <w:pPr>
      <w:spacing w:after="0"/>
    </w:pPr>
    <w:rPr>
      <w:rFonts w:asciiTheme="majorHAnsi" w:eastAsia="Times New Roman" w:hAnsiTheme="majorHAnsi"/>
      <w:b/>
    </w:rPr>
  </w:style>
  <w:style w:type="paragraph" w:customStyle="1" w:styleId="Tableheadblack">
    <w:name w:val="Table head black"/>
    <w:basedOn w:val="Tablehead"/>
    <w:qFormat/>
    <w:rsid w:val="00B70B52"/>
    <w:rPr>
      <w:rFonts w:cstheme="majorHAnsi"/>
      <w:b/>
      <w:color w:val="auto"/>
      <w:szCs w:val="21"/>
    </w:rPr>
  </w:style>
  <w:style w:type="paragraph" w:customStyle="1" w:styleId="Tableheadtext">
    <w:name w:val="Table head text"/>
    <w:basedOn w:val="Note"/>
    <w:qFormat/>
    <w:rsid w:val="00452B15"/>
    <w:rPr>
      <w:rFonts w:asciiTheme="majorHAnsi" w:hAnsiTheme="majorHAnsi" w:cstheme="majorHAnsi"/>
      <w:sz w:val="21"/>
      <w:szCs w:val="21"/>
    </w:rPr>
  </w:style>
  <w:style w:type="table" w:styleId="ColorfulList-Accent3">
    <w:name w:val="Colorful List Accent 3"/>
    <w:aliases w:val="Colorful List - ACT Gov"/>
    <w:basedOn w:val="TableNormal"/>
    <w:uiPriority w:val="72"/>
    <w:rsid w:val="00214A8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2674" w:themeFill="accent4" w:themeFillShade="CC"/>
      </w:tcPr>
    </w:tblStylePr>
    <w:tblStylePr w:type="lastRow">
      <w:rPr>
        <w:b/>
        <w:bCs/>
        <w:color w:val="28267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E6" w:themeFill="accent3" w:themeFillTint="3F"/>
      </w:tcPr>
    </w:tblStylePr>
    <w:tblStylePr w:type="band1Horz">
      <w:tblPr/>
      <w:tcPr>
        <w:shd w:val="clear" w:color="auto" w:fill="EFD7EB" w:themeFill="accent3" w:themeFillTint="33"/>
      </w:tcPr>
    </w:tblStylePr>
  </w:style>
  <w:style w:type="table" w:styleId="ColorfulList-Accent5">
    <w:name w:val="Colorful List Accent 5"/>
    <w:basedOn w:val="TableNormal"/>
    <w:uiPriority w:val="72"/>
    <w:rsid w:val="0079069F"/>
    <w:pPr>
      <w:spacing w:after="0" w:line="240" w:lineRule="auto"/>
    </w:pPr>
    <w:rPr>
      <w:color w:val="000000" w:themeColor="text1"/>
    </w:rPr>
    <w:tblPr>
      <w:tblStyleRowBandSize w:val="1"/>
      <w:tblBorders>
        <w:insideV w:val="single" w:sz="4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9E9E6" w:themeFill="accent2" w:themeFillTint="33"/>
      <w:vAlign w:val="center"/>
    </w:tcPr>
    <w:tblStylePr w:type="firstRow">
      <w:pPr>
        <w:jc w:val="left"/>
      </w:pPr>
      <w:rPr>
        <w:rFonts w:asciiTheme="majorHAnsi" w:hAnsiTheme="majorHAnsi"/>
        <w:b w:val="0"/>
        <w:bCs/>
        <w:color w:val="FFFFFF" w:themeColor="background1"/>
        <w:sz w:val="21"/>
      </w:rPr>
      <w:tblPr/>
      <w:tcPr>
        <w:shd w:val="clear" w:color="auto" w:fill="00AEEF" w:themeFill="text2"/>
      </w:tcPr>
    </w:tblStylePr>
    <w:tblStylePr w:type="lastRow">
      <w:rPr>
        <w:b/>
        <w:bCs/>
        <w:color w:val="00AEEF" w:themeColor="text2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FFF" w:themeFill="background1"/>
      </w:tcPr>
    </w:tblStylePr>
  </w:style>
  <w:style w:type="table" w:styleId="ColorfulList-Accent6">
    <w:name w:val="Colorful List Accent 6"/>
    <w:basedOn w:val="TableNormal"/>
    <w:uiPriority w:val="72"/>
    <w:rsid w:val="001E76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10B" w:themeFill="accent5" w:themeFillShade="CC"/>
      </w:tcPr>
    </w:tblStylePr>
    <w:tblStylePr w:type="lastRow">
      <w:rPr>
        <w:b/>
        <w:bCs/>
        <w:color w:val="D2510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8" w:themeFill="accent6" w:themeFillTint="3F"/>
      </w:tcPr>
    </w:tblStylePr>
    <w:tblStylePr w:type="band1Horz">
      <w:tblPr/>
      <w:tcPr>
        <w:shd w:val="clear" w:color="auto" w:fill="BAFFF9" w:themeFill="accent6" w:themeFillTint="33"/>
      </w:tcPr>
    </w:tblStylePr>
  </w:style>
  <w:style w:type="table" w:customStyle="1" w:styleId="ACTGovblue">
    <w:name w:val="ACT Gov blue"/>
    <w:basedOn w:val="TableNormal"/>
    <w:uiPriority w:val="99"/>
    <w:qFormat/>
    <w:rsid w:val="001E7690"/>
    <w:pPr>
      <w:spacing w:after="0" w:line="240" w:lineRule="auto"/>
    </w:pPr>
    <w:tblPr/>
  </w:style>
  <w:style w:type="paragraph" w:customStyle="1" w:styleId="Introreverse">
    <w:name w:val="Intro reverse"/>
    <w:basedOn w:val="Intro"/>
    <w:qFormat/>
    <w:rsid w:val="0058377A"/>
    <w:rPr>
      <w:b/>
      <w:noProof/>
      <w:color w:val="FFFFFF" w:themeColor="background1"/>
      <w:sz w:val="28"/>
      <w:szCs w:val="28"/>
    </w:rPr>
  </w:style>
  <w:style w:type="paragraph" w:customStyle="1" w:styleId="Heading1reverse">
    <w:name w:val="Heading 1 reverse"/>
    <w:basedOn w:val="Heading1"/>
    <w:qFormat/>
    <w:rsid w:val="000B13CB"/>
    <w:rPr>
      <w:color w:val="FFFFFF" w:themeColor="background1"/>
    </w:rPr>
  </w:style>
  <w:style w:type="paragraph" w:customStyle="1" w:styleId="Heading3reverse">
    <w:name w:val="Heading 3 reverse"/>
    <w:basedOn w:val="Heading3"/>
    <w:qFormat/>
    <w:rsid w:val="00A56436"/>
    <w:rPr>
      <w:color w:val="FFFFFF" w:themeColor="background1"/>
    </w:rPr>
  </w:style>
  <w:style w:type="paragraph" w:customStyle="1" w:styleId="bodytextreverse">
    <w:name w:val="body text reverse"/>
    <w:basedOn w:val="Normal"/>
    <w:qFormat/>
    <w:rsid w:val="004C1925"/>
    <w:pPr>
      <w:spacing w:line="270" w:lineRule="exact"/>
    </w:pPr>
    <w:rPr>
      <w:rFonts w:ascii="Arial" w:hAnsi="Arial"/>
      <w:noProof/>
      <w:color w:val="FFFFFF" w:themeColor="background1"/>
      <w:kern w:val="22"/>
      <w:sz w:val="22"/>
    </w:rPr>
  </w:style>
  <w:style w:type="paragraph" w:styleId="EnvelopeReturn">
    <w:name w:val="envelope return"/>
    <w:basedOn w:val="Normal"/>
    <w:uiPriority w:val="99"/>
    <w:unhideWhenUsed/>
    <w:rsid w:val="005E530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ListBullet">
    <w:name w:val="List Bullet"/>
    <w:basedOn w:val="Normal"/>
    <w:uiPriority w:val="99"/>
    <w:unhideWhenUsed/>
    <w:rsid w:val="0089332C"/>
    <w:pPr>
      <w:numPr>
        <w:numId w:val="19"/>
      </w:numPr>
      <w:contextualSpacing/>
    </w:pPr>
  </w:style>
  <w:style w:type="paragraph" w:styleId="Revision">
    <w:name w:val="Revision"/>
    <w:hidden/>
    <w:uiPriority w:val="99"/>
    <w:semiHidden/>
    <w:rsid w:val="00AD09B3"/>
    <w:pPr>
      <w:spacing w:after="0" w:line="240" w:lineRule="auto"/>
    </w:pPr>
    <w:rPr>
      <w:rFonts w:cs="Times New Roman"/>
      <w:sz w:val="21"/>
      <w:szCs w:val="21"/>
      <w:lang w:eastAsia="en-AU"/>
    </w:rPr>
  </w:style>
  <w:style w:type="character" w:styleId="Emphasis">
    <w:name w:val="Emphasis"/>
    <w:basedOn w:val="DefaultParagraphFont"/>
    <w:uiPriority w:val="20"/>
    <w:qFormat/>
    <w:rsid w:val="001501D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7744F"/>
    <w:rPr>
      <w:b/>
      <w:bCs/>
      <w:i/>
      <w:iCs/>
      <w:color w:val="323232" w:themeColor="accent1"/>
    </w:rPr>
  </w:style>
  <w:style w:type="paragraph" w:styleId="CommentText">
    <w:name w:val="annotation text"/>
    <w:basedOn w:val="Normal"/>
    <w:link w:val="CommentTextChar"/>
    <w:uiPriority w:val="99"/>
    <w:unhideWhenUsed/>
    <w:rsid w:val="00600625"/>
    <w:pPr>
      <w:spacing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0625"/>
    <w:rPr>
      <w:rFonts w:ascii="Calibri" w:eastAsia="Calibri" w:hAnsi="Calibri" w:cs="Times New Roman"/>
      <w:sz w:val="20"/>
      <w:szCs w:val="20"/>
    </w:rPr>
  </w:style>
  <w:style w:type="paragraph" w:customStyle="1" w:styleId="Pa4">
    <w:name w:val="Pa4"/>
    <w:basedOn w:val="Normal"/>
    <w:next w:val="Normal"/>
    <w:uiPriority w:val="99"/>
    <w:rsid w:val="00600625"/>
    <w:pPr>
      <w:autoSpaceDE w:val="0"/>
      <w:autoSpaceDN w:val="0"/>
      <w:adjustRightInd w:val="0"/>
      <w:spacing w:after="0" w:line="211" w:lineRule="atLeast"/>
    </w:pPr>
    <w:rPr>
      <w:rFonts w:ascii="Source Sans Pro Light" w:hAnsi="Source Sans Pro Light" w:cstheme="minorBidi"/>
      <w:sz w:val="24"/>
      <w:szCs w:val="24"/>
      <w:lang w:eastAsia="en-US"/>
    </w:rPr>
  </w:style>
  <w:style w:type="character" w:customStyle="1" w:styleId="A5">
    <w:name w:val="A5"/>
    <w:uiPriority w:val="99"/>
    <w:rsid w:val="00600625"/>
    <w:rPr>
      <w:rFonts w:cs="Source Sans Pro Light"/>
      <w:color w:val="000000"/>
      <w:sz w:val="21"/>
      <w:szCs w:val="21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A6F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A6FBE"/>
    <w:rPr>
      <w:rFonts w:cs="Times New Roman"/>
      <w:sz w:val="21"/>
      <w:szCs w:val="21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A6FBE"/>
    <w:rPr>
      <w:sz w:val="16"/>
      <w:szCs w:val="16"/>
    </w:rPr>
  </w:style>
  <w:style w:type="character" w:customStyle="1" w:styleId="file">
    <w:name w:val="file"/>
    <w:basedOn w:val="DefaultParagraphFont"/>
    <w:rsid w:val="003A6FBE"/>
  </w:style>
  <w:style w:type="table" w:styleId="PlainTable3">
    <w:name w:val="Plain Table 3"/>
    <w:basedOn w:val="TableNormal"/>
    <w:uiPriority w:val="43"/>
    <w:rsid w:val="003A6F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A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Default">
    <w:name w:val="Default"/>
    <w:rsid w:val="003A6FBE"/>
    <w:pPr>
      <w:autoSpaceDE w:val="0"/>
      <w:autoSpaceDN w:val="0"/>
      <w:adjustRightInd w:val="0"/>
      <w:spacing w:after="0" w:line="240" w:lineRule="auto"/>
    </w:pPr>
    <w:rPr>
      <w:rFonts w:ascii="Source Sans Pro Light" w:hAnsi="Source Sans Pro Light" w:cs="Source Sans Pro Light"/>
      <w:color w:val="000000"/>
      <w:sz w:val="24"/>
      <w:szCs w:val="24"/>
    </w:rPr>
  </w:style>
  <w:style w:type="table" w:styleId="GridTable4-Accent1">
    <w:name w:val="Grid Table 4 Accent 1"/>
    <w:basedOn w:val="TableNormal"/>
    <w:uiPriority w:val="49"/>
    <w:rsid w:val="003A6FBE"/>
    <w:pPr>
      <w:spacing w:after="0" w:line="240" w:lineRule="auto"/>
    </w:pPr>
    <w:tblPr>
      <w:tblStyleRowBandSize w:val="1"/>
      <w:tblStyleColBandSize w:val="1"/>
      <w:tblBorders>
        <w:top w:val="single" w:sz="4" w:space="0" w:color="848484" w:themeColor="accent1" w:themeTint="99"/>
        <w:left w:val="single" w:sz="4" w:space="0" w:color="848484" w:themeColor="accent1" w:themeTint="99"/>
        <w:bottom w:val="single" w:sz="4" w:space="0" w:color="848484" w:themeColor="accent1" w:themeTint="99"/>
        <w:right w:val="single" w:sz="4" w:space="0" w:color="848484" w:themeColor="accent1" w:themeTint="99"/>
        <w:insideH w:val="single" w:sz="4" w:space="0" w:color="848484" w:themeColor="accent1" w:themeTint="99"/>
        <w:insideV w:val="single" w:sz="4" w:space="0" w:color="84848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23232" w:themeColor="accent1"/>
          <w:left w:val="single" w:sz="4" w:space="0" w:color="323232" w:themeColor="accent1"/>
          <w:bottom w:val="single" w:sz="4" w:space="0" w:color="323232" w:themeColor="accent1"/>
          <w:right w:val="single" w:sz="4" w:space="0" w:color="323232" w:themeColor="accent1"/>
          <w:insideH w:val="nil"/>
          <w:insideV w:val="nil"/>
        </w:tcBorders>
        <w:shd w:val="clear" w:color="auto" w:fill="323232" w:themeFill="accent1"/>
      </w:tcPr>
    </w:tblStylePr>
    <w:tblStylePr w:type="lastRow">
      <w:rPr>
        <w:b/>
        <w:bCs/>
      </w:rPr>
      <w:tblPr/>
      <w:tcPr>
        <w:tcBorders>
          <w:top w:val="double" w:sz="4" w:space="0" w:color="32323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1" w:themeFillTint="33"/>
      </w:tcPr>
    </w:tblStylePr>
    <w:tblStylePr w:type="band1Horz">
      <w:tblPr/>
      <w:tcPr>
        <w:shd w:val="clear" w:color="auto" w:fill="D6D6D6" w:themeFill="accent1" w:themeFillTint="33"/>
      </w:tcPr>
    </w:tblStylePr>
  </w:style>
  <w:style w:type="character" w:customStyle="1" w:styleId="Calibri12">
    <w:name w:val="Calibri 12"/>
    <w:basedOn w:val="DefaultParagraphFont"/>
    <w:uiPriority w:val="1"/>
    <w:qFormat/>
    <w:rsid w:val="003A6FBE"/>
    <w:rPr>
      <w:rFonts w:ascii="Calibri" w:hAnsi="Calibri"/>
      <w:sz w:val="24"/>
    </w:rPr>
  </w:style>
  <w:style w:type="table" w:customStyle="1" w:styleId="ColorfulList-Accent51">
    <w:name w:val="Colorful List - Accent 51"/>
    <w:basedOn w:val="TableNormal"/>
    <w:next w:val="ColorfulList-Accent5"/>
    <w:uiPriority w:val="72"/>
    <w:rsid w:val="00D60DC0"/>
    <w:pPr>
      <w:spacing w:after="0" w:line="240" w:lineRule="auto"/>
    </w:pPr>
    <w:rPr>
      <w:color w:val="000000" w:themeColor="text1"/>
    </w:rPr>
    <w:tblPr>
      <w:tblStyleRowBandSize w:val="1"/>
      <w:tblBorders>
        <w:insideV w:val="single" w:sz="4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9E9E6" w:themeFill="accent2" w:themeFillTint="33"/>
      <w:vAlign w:val="center"/>
    </w:tcPr>
    <w:tblStylePr w:type="firstRow">
      <w:pPr>
        <w:jc w:val="left"/>
      </w:pPr>
      <w:rPr>
        <w:rFonts w:asciiTheme="majorHAnsi" w:hAnsiTheme="majorHAnsi"/>
        <w:b w:val="0"/>
        <w:bCs/>
        <w:color w:val="FFFFFF" w:themeColor="background1"/>
        <w:sz w:val="21"/>
      </w:rPr>
      <w:tblPr/>
      <w:tcPr>
        <w:shd w:val="clear" w:color="auto" w:fill="00AEEF" w:themeFill="text2"/>
      </w:tcPr>
    </w:tblStylePr>
    <w:tblStylePr w:type="lastRow">
      <w:rPr>
        <w:b/>
        <w:bCs/>
        <w:color w:val="00AEEF" w:themeColor="text2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FFF" w:themeFill="background1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5327B4"/>
    <w:rPr>
      <w:rFonts w:asciiTheme="majorHAnsi" w:eastAsiaTheme="majorEastAsia" w:hAnsiTheme="majorHAnsi" w:cstheme="majorBidi"/>
      <w:color w:val="252525" w:themeColor="accent1" w:themeShade="BF"/>
      <w:sz w:val="21"/>
      <w:szCs w:val="21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ADA"/>
    <w:rPr>
      <w:rFonts w:asciiTheme="minorHAnsi" w:eastAsiaTheme="minorHAnsi" w:hAnsiTheme="minorHAnsi"/>
      <w:b/>
      <w:bCs/>
      <w:lang w:eastAsia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ADA"/>
    <w:rPr>
      <w:rFonts w:ascii="Calibri" w:eastAsia="Calibri" w:hAnsi="Calibri" w:cs="Times New Roman"/>
      <w:b/>
      <w:bCs/>
      <w:sz w:val="20"/>
      <w:szCs w:val="20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C07C42"/>
    <w:rPr>
      <w:color w:val="7F7F7F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E620AE"/>
    <w:rPr>
      <w:rFonts w:asciiTheme="majorHAnsi" w:eastAsiaTheme="majorEastAsia" w:hAnsiTheme="majorHAnsi" w:cstheme="majorBidi"/>
      <w:color w:val="181818" w:themeColor="accent1" w:themeShade="7F"/>
      <w:sz w:val="21"/>
      <w:szCs w:val="21"/>
      <w:lang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7D9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7D9C"/>
    <w:rPr>
      <w:rFonts w:cs="Times New Roman"/>
      <w:sz w:val="21"/>
      <w:szCs w:val="21"/>
      <w:lang w:eastAsia="en-AU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C355D"/>
    <w:pPr>
      <w:spacing w:after="100"/>
      <w:ind w:left="147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4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149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169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13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training.nsw.gov.au/gto/register_as_gto.html" TargetMode="External"/><Relationship Id="rId18" Type="http://schemas.openxmlformats.org/officeDocument/2006/relationships/hyperlink" Target="https://skills.act.gov.au/employers" TargetMode="External"/><Relationship Id="rId26" Type="http://schemas.openxmlformats.org/officeDocument/2006/relationships/hyperlink" Target="mailto:skills@act.gov.a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raining.nsw.gov.au/gto/register_as_gto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training.nsw.gov.au/gto/register_as_gto.html" TargetMode="External"/><Relationship Id="rId17" Type="http://schemas.openxmlformats.org/officeDocument/2006/relationships/hyperlink" Target="https://www.australianapprenticeships.gov.au/gto-national-standards" TargetMode="External"/><Relationship Id="rId25" Type="http://schemas.openxmlformats.org/officeDocument/2006/relationships/hyperlink" Target="https://skills.act.gov.au/employe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ustralianapprenticeships.gov.au/gto-national-standards" TargetMode="External"/><Relationship Id="rId20" Type="http://schemas.openxmlformats.org/officeDocument/2006/relationships/hyperlink" Target="mailto:skills@act.gov.a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kills.act.gov.au" TargetMode="External"/><Relationship Id="rId24" Type="http://schemas.openxmlformats.org/officeDocument/2006/relationships/hyperlink" Target="mailto:group.training@industry.nsw.gov.a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ustralianapprenticeships.gov.au/gto-national-standards" TargetMode="External"/><Relationship Id="rId23" Type="http://schemas.openxmlformats.org/officeDocument/2006/relationships/hyperlink" Target="https://www.training.nsw.gov.au/gto/register_as_gto.html" TargetMode="External"/><Relationship Id="rId28" Type="http://schemas.openxmlformats.org/officeDocument/2006/relationships/hyperlink" Target="mailto:skills@act.gov.au" TargetMode="External"/><Relationship Id="rId10" Type="http://schemas.openxmlformats.org/officeDocument/2006/relationships/hyperlink" Target="mailto:skills@act.gov.au" TargetMode="External"/><Relationship Id="rId19" Type="http://schemas.openxmlformats.org/officeDocument/2006/relationships/hyperlink" Target="https://skills.act.gov.au/employers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australianapprenticeships.gov.au/publications/national-standards-group-training-organisations" TargetMode="External"/><Relationship Id="rId22" Type="http://schemas.openxmlformats.org/officeDocument/2006/relationships/hyperlink" Target="https://skills.act.gov.au/employers" TargetMode="External"/><Relationship Id="rId27" Type="http://schemas.openxmlformats.org/officeDocument/2006/relationships/hyperlink" Target="mailto:skills@act.gov.au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Arts ACT">
  <a:themeElements>
    <a:clrScheme name="ACT gov blue violet">
      <a:dk1>
        <a:sysClr val="windowText" lastClr="000000"/>
      </a:dk1>
      <a:lt1>
        <a:sysClr val="window" lastClr="FFFFFF"/>
      </a:lt1>
      <a:dk2>
        <a:srgbClr val="00AEEF"/>
      </a:dk2>
      <a:lt2>
        <a:srgbClr val="482D8C"/>
      </a:lt2>
      <a:accent1>
        <a:srgbClr val="323232"/>
      </a:accent1>
      <a:accent2>
        <a:srgbClr val="929487"/>
      </a:accent2>
      <a:accent3>
        <a:srgbClr val="AB4399"/>
      </a:accent3>
      <a:accent4>
        <a:srgbClr val="333092"/>
      </a:accent4>
      <a:accent5>
        <a:srgbClr val="F36C23"/>
      </a:accent5>
      <a:accent6>
        <a:srgbClr val="00A99D"/>
      </a:accent6>
      <a:hlink>
        <a:srgbClr val="333092"/>
      </a:hlink>
      <a:folHlink>
        <a:srgbClr val="7F7F7F"/>
      </a:folHlink>
    </a:clrScheme>
    <a:fontScheme name="Arial-Calibri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C2230-7086-49DB-A8CB-70989BA6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2019-09-26T03:40:00Z</dcterms:created>
  <dcterms:modified xsi:type="dcterms:W3CDTF">2019-09-26T03:49:00Z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667502324</vt:i4>
  </property>
</Properties>
</file>