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2A1" w:rsidRPr="00123C53" w:rsidRDefault="003A32A1" w:rsidP="003A32A1">
      <w:pPr>
        <w:spacing w:after="150" w:line="240" w:lineRule="auto"/>
        <w:rPr>
          <w:rFonts w:ascii="Montserrat ExtraBold" w:eastAsia="Times New Roman" w:hAnsi="Montserrat ExtraBold" w:cs="Helvetica"/>
          <w:b/>
          <w:color w:val="333333"/>
          <w:sz w:val="24"/>
          <w:szCs w:val="24"/>
          <w:lang w:val="en" w:eastAsia="en-AU"/>
        </w:rPr>
      </w:pPr>
      <w:r w:rsidRPr="00123C53">
        <w:rPr>
          <w:rFonts w:ascii="Montserrat ExtraBold" w:eastAsia="Times New Roman" w:hAnsi="Montserrat ExtraBold" w:cs="Helvetica"/>
          <w:b/>
          <w:color w:val="333333"/>
          <w:sz w:val="24"/>
          <w:szCs w:val="24"/>
          <w:lang w:val="en" w:eastAsia="en-AU"/>
        </w:rPr>
        <w:t>Adult Community Education (ACE) Grants Program</w:t>
      </w:r>
    </w:p>
    <w:p w:rsidR="003A32A1" w:rsidRPr="00123C53" w:rsidRDefault="00E019FA" w:rsidP="003A32A1">
      <w:pPr>
        <w:spacing w:after="150" w:line="240" w:lineRule="auto"/>
        <w:rPr>
          <w:rFonts w:ascii="Source Sans Pro ExtraLight" w:eastAsia="Times New Roman" w:hAnsi="Source Sans Pro ExtraLight" w:cs="Helvetica"/>
          <w:color w:val="333333"/>
          <w:sz w:val="24"/>
          <w:szCs w:val="24"/>
          <w:lang w:val="en" w:eastAsia="en-AU"/>
        </w:rPr>
      </w:pPr>
      <w:r w:rsidRPr="00123C53">
        <w:rPr>
          <w:rFonts w:ascii="Source Sans Pro ExtraLight" w:eastAsia="Times New Roman" w:hAnsi="Source Sans Pro ExtraLight" w:cs="Helvetica"/>
          <w:color w:val="333333"/>
          <w:sz w:val="24"/>
          <w:szCs w:val="24"/>
          <w:lang w:val="en" w:eastAsia="en-AU"/>
        </w:rPr>
        <w:t>Details of the r</w:t>
      </w:r>
      <w:r w:rsidR="003A32A1" w:rsidRPr="00123C53">
        <w:rPr>
          <w:rFonts w:ascii="Source Sans Pro ExtraLight" w:eastAsia="Times New Roman" w:hAnsi="Source Sans Pro ExtraLight" w:cs="Helvetica"/>
          <w:color w:val="333333"/>
          <w:sz w:val="24"/>
          <w:szCs w:val="24"/>
          <w:lang w:val="en" w:eastAsia="en-AU"/>
        </w:rPr>
        <w:t xml:space="preserve">ecipients of the 2019 ACT ACE Grants Program, Rounds 1 and 2, </w:t>
      </w:r>
      <w:r w:rsidRPr="00123C53">
        <w:rPr>
          <w:rFonts w:ascii="Source Sans Pro ExtraLight" w:eastAsia="Times New Roman" w:hAnsi="Source Sans Pro ExtraLight" w:cs="Helvetica"/>
          <w:color w:val="333333"/>
          <w:sz w:val="24"/>
          <w:szCs w:val="24"/>
          <w:lang w:val="en" w:eastAsia="en-AU"/>
        </w:rPr>
        <w:t>are provided in the table below:</w:t>
      </w:r>
    </w:p>
    <w:tbl>
      <w:tblPr>
        <w:tblStyle w:val="TableGrid"/>
        <w:tblW w:w="4978" w:type="pct"/>
        <w:tblLook w:val="04A0" w:firstRow="1" w:lastRow="0" w:firstColumn="1" w:lastColumn="0" w:noHBand="0" w:noVBand="1"/>
      </w:tblPr>
      <w:tblGrid>
        <w:gridCol w:w="1979"/>
        <w:gridCol w:w="1260"/>
        <w:gridCol w:w="1575"/>
        <w:gridCol w:w="980"/>
        <w:gridCol w:w="7141"/>
        <w:gridCol w:w="67"/>
        <w:gridCol w:w="885"/>
      </w:tblGrid>
      <w:tr w:rsidR="00482145" w:rsidRPr="00482145" w:rsidTr="007A2EED">
        <w:trPr>
          <w:cantSplit/>
          <w:trHeight w:val="491"/>
        </w:trPr>
        <w:tc>
          <w:tcPr>
            <w:tcW w:w="5000" w:type="pct"/>
            <w:gridSpan w:val="7"/>
            <w:shd w:val="clear" w:color="auto" w:fill="AB4399"/>
            <w:vAlign w:val="center"/>
          </w:tcPr>
          <w:p w:rsidR="00E73119" w:rsidRPr="00482145" w:rsidRDefault="00E73119" w:rsidP="00482145">
            <w:pPr>
              <w:rPr>
                <w:rFonts w:ascii="Source Sans Pro" w:eastAsia="Times New Roman" w:hAnsi="Source Sans Pro" w:cs="Helvetica"/>
                <w:b/>
                <w:color w:val="FFFFFF" w:themeColor="background1"/>
                <w:lang w:val="en" w:eastAsia="en-AU"/>
              </w:rPr>
            </w:pPr>
            <w:r w:rsidRPr="00482145">
              <w:rPr>
                <w:rFonts w:ascii="Source Sans Pro" w:eastAsia="Times New Roman" w:hAnsi="Source Sans Pro" w:cs="Helvetica"/>
                <w:b/>
                <w:color w:val="FFFFFF" w:themeColor="background1"/>
                <w:lang w:val="en" w:eastAsia="en-AU"/>
              </w:rPr>
              <w:t>Round One Recipients</w:t>
            </w:r>
          </w:p>
        </w:tc>
      </w:tr>
      <w:tr w:rsidR="001F1A69" w:rsidRPr="00123C53" w:rsidTr="007A2EED">
        <w:trPr>
          <w:cantSplit/>
          <w:trHeight w:val="425"/>
        </w:trPr>
        <w:tc>
          <w:tcPr>
            <w:tcW w:w="713" w:type="pct"/>
            <w:shd w:val="clear" w:color="auto" w:fill="E7E6E6" w:themeFill="background2"/>
            <w:vAlign w:val="center"/>
          </w:tcPr>
          <w:p w:rsidR="00E73119" w:rsidRPr="00123C53" w:rsidRDefault="00E73119" w:rsidP="00482145">
            <w:pPr>
              <w:rPr>
                <w:rFonts w:ascii="Source Sans Pro Light" w:eastAsia="Times New Roman" w:hAnsi="Source Sans Pro Light" w:cs="Helvetica"/>
                <w:b/>
                <w:color w:val="333333"/>
                <w:lang w:val="en" w:eastAsia="en-AU"/>
              </w:rPr>
            </w:pPr>
            <w:r w:rsidRPr="00123C53">
              <w:rPr>
                <w:rFonts w:ascii="Source Sans Pro Light" w:eastAsia="Times New Roman" w:hAnsi="Source Sans Pro Light" w:cs="Helvetica"/>
                <w:b/>
                <w:color w:val="333333"/>
                <w:lang w:val="en" w:eastAsia="en-AU"/>
              </w:rPr>
              <w:t>Organisation</w:t>
            </w:r>
          </w:p>
        </w:tc>
        <w:tc>
          <w:tcPr>
            <w:tcW w:w="1021" w:type="pct"/>
            <w:gridSpan w:val="2"/>
            <w:shd w:val="clear" w:color="auto" w:fill="E7E6E6" w:themeFill="background2"/>
            <w:vAlign w:val="center"/>
          </w:tcPr>
          <w:p w:rsidR="00E73119" w:rsidRPr="00123C53" w:rsidRDefault="00E73119" w:rsidP="00482145">
            <w:pPr>
              <w:rPr>
                <w:rFonts w:ascii="Source Sans Pro Light" w:eastAsia="Times New Roman" w:hAnsi="Source Sans Pro Light" w:cs="Helvetica"/>
                <w:b/>
                <w:color w:val="333333"/>
                <w:lang w:val="en" w:eastAsia="en-AU"/>
              </w:rPr>
            </w:pPr>
            <w:r w:rsidRPr="00123C53">
              <w:rPr>
                <w:rFonts w:ascii="Source Sans Pro Light" w:eastAsia="Times New Roman" w:hAnsi="Source Sans Pro Light" w:cs="Helvetica"/>
                <w:b/>
                <w:color w:val="333333"/>
                <w:lang w:val="en" w:eastAsia="en-AU"/>
              </w:rPr>
              <w:t>Project Title</w:t>
            </w:r>
          </w:p>
        </w:tc>
        <w:tc>
          <w:tcPr>
            <w:tcW w:w="2924" w:type="pct"/>
            <w:gridSpan w:val="2"/>
            <w:shd w:val="clear" w:color="auto" w:fill="E7E6E6" w:themeFill="background2"/>
            <w:vAlign w:val="center"/>
          </w:tcPr>
          <w:p w:rsidR="00E73119" w:rsidRPr="00123C53" w:rsidRDefault="00E73119" w:rsidP="00482145">
            <w:pPr>
              <w:rPr>
                <w:rFonts w:ascii="Source Sans Pro Light" w:eastAsia="Times New Roman" w:hAnsi="Source Sans Pro Light" w:cs="Helvetica"/>
                <w:b/>
                <w:color w:val="333333"/>
                <w:lang w:val="en" w:eastAsia="en-AU"/>
              </w:rPr>
            </w:pPr>
            <w:r w:rsidRPr="00123C53">
              <w:rPr>
                <w:rFonts w:ascii="Source Sans Pro Light" w:eastAsia="Times New Roman" w:hAnsi="Source Sans Pro Light" w:cs="Helvetica"/>
                <w:b/>
                <w:color w:val="333333"/>
                <w:lang w:val="en" w:eastAsia="en-AU"/>
              </w:rPr>
              <w:t>Project Description</w:t>
            </w:r>
          </w:p>
        </w:tc>
        <w:tc>
          <w:tcPr>
            <w:tcW w:w="342" w:type="pct"/>
            <w:gridSpan w:val="2"/>
            <w:shd w:val="clear" w:color="auto" w:fill="E7E6E6" w:themeFill="background2"/>
            <w:vAlign w:val="center"/>
          </w:tcPr>
          <w:p w:rsidR="00E73119" w:rsidRPr="00123C53" w:rsidRDefault="00E73119" w:rsidP="00482145">
            <w:pPr>
              <w:rPr>
                <w:rFonts w:ascii="Source Sans Pro Light" w:eastAsia="Times New Roman" w:hAnsi="Source Sans Pro Light" w:cs="Helvetica"/>
                <w:b/>
                <w:color w:val="333333"/>
                <w:lang w:val="en" w:eastAsia="en-AU"/>
              </w:rPr>
            </w:pPr>
            <w:r w:rsidRPr="00123C53">
              <w:rPr>
                <w:rFonts w:ascii="Source Sans Pro Light" w:eastAsia="Times New Roman" w:hAnsi="Source Sans Pro Light" w:cs="Helvetica"/>
                <w:b/>
                <w:color w:val="333333"/>
                <w:lang w:val="en" w:eastAsia="en-AU"/>
              </w:rPr>
              <w:t>Grant</w:t>
            </w:r>
          </w:p>
        </w:tc>
      </w:tr>
      <w:tr w:rsidR="001F1A69" w:rsidRPr="00123C53" w:rsidTr="007A2EED">
        <w:trPr>
          <w:cantSplit/>
        </w:trPr>
        <w:tc>
          <w:tcPr>
            <w:tcW w:w="713" w:type="pct"/>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Belconnen Community Service</w:t>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p>
        </w:tc>
        <w:tc>
          <w:tcPr>
            <w:tcW w:w="1021"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Youth Employment Pathways Hub</w:t>
            </w:r>
          </w:p>
        </w:tc>
        <w:tc>
          <w:tcPr>
            <w:tcW w:w="2924" w:type="pct"/>
            <w:gridSpan w:val="2"/>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Helvetica"/>
                <w:color w:val="333333"/>
                <w:lang w:val="en" w:eastAsia="en-AU"/>
              </w:rPr>
              <w:t xml:space="preserve">The Youth Employment Pathways Hub will assist vulnerable young people aged 17-25 years who live, work, or play in Belconnen. This project will provide individualised, regular, short-term, support to towards meaningful employment. Facilitators will </w:t>
            </w:r>
            <w:r w:rsidR="00F667BC">
              <w:rPr>
                <w:rFonts w:ascii="Source Sans Pro ExtraLight" w:eastAsia="Times New Roman" w:hAnsi="Source Sans Pro ExtraLight" w:cs="Helvetica"/>
                <w:color w:val="333333"/>
                <w:lang w:val="en" w:eastAsia="en-AU"/>
              </w:rPr>
              <w:t>use</w:t>
            </w:r>
            <w:r w:rsidRPr="00123C53">
              <w:rPr>
                <w:rFonts w:ascii="Source Sans Pro ExtraLight" w:eastAsia="Times New Roman" w:hAnsi="Source Sans Pro ExtraLight" w:cs="Helvetica"/>
                <w:color w:val="333333"/>
                <w:lang w:val="en" w:eastAsia="en-AU"/>
              </w:rPr>
              <w:t xml:space="preserve"> a ‘strengths-based’ approach, partnering with young people to develop participant-led plans that empower individuals to overcome barriers to education and employment. This will involve interactive resume and job-ready workshops, case management, outreach visits, mentoring, job application assistance, and supported referral to education and training opportunities.</w:t>
            </w:r>
          </w:p>
        </w:tc>
        <w:tc>
          <w:tcPr>
            <w:tcW w:w="342" w:type="pct"/>
            <w:gridSpan w:val="2"/>
            <w:vAlign w:val="bottom"/>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Times New Roman"/>
                <w:color w:val="000000"/>
                <w:lang w:eastAsia="en-AU"/>
              </w:rPr>
              <w:t>$50,000</w:t>
            </w:r>
          </w:p>
        </w:tc>
        <w:bookmarkStart w:id="0" w:name="_GoBack"/>
        <w:bookmarkEnd w:id="0"/>
      </w:tr>
      <w:tr w:rsidR="001F1A69" w:rsidRPr="00123C53" w:rsidTr="007A2EED">
        <w:trPr>
          <w:cantSplit/>
        </w:trPr>
        <w:tc>
          <w:tcPr>
            <w:tcW w:w="713" w:type="pct"/>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MARSS Australia Inc.</w:t>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p>
        </w:tc>
        <w:tc>
          <w:tcPr>
            <w:tcW w:w="1021"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Foundation Workplace English and Communication Program (FWEC)</w:t>
            </w:r>
          </w:p>
        </w:tc>
        <w:tc>
          <w:tcPr>
            <w:tcW w:w="2924" w:type="pct"/>
            <w:gridSpan w:val="2"/>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Helvetica"/>
                <w:color w:val="333333"/>
                <w:lang w:val="en" w:eastAsia="en-AU"/>
              </w:rPr>
              <w:t>This project is designed to assist culturally and linguistically diverse Canberrans to conquer barriers to gaining language, learning and workplace literacy proficiency and support them in obtaining employment or remaining meaningfully employed. Participants will develop Level 1 and 2 work-related foundation skills in an accessible and inclusive community setting, with support to build confidence, and to acquire the skills and knowledge necessary to effectively communicate with others within a working environment.</w:t>
            </w:r>
          </w:p>
        </w:tc>
        <w:tc>
          <w:tcPr>
            <w:tcW w:w="342" w:type="pct"/>
            <w:gridSpan w:val="2"/>
            <w:shd w:val="clear" w:color="auto" w:fill="auto"/>
            <w:vAlign w:val="bottom"/>
          </w:tcPr>
          <w:p w:rsidR="001F1A69" w:rsidRPr="00123C53" w:rsidRDefault="001F1A69" w:rsidP="007A2EED">
            <w:pPr>
              <w:spacing w:before="240"/>
              <w:jc w:val="right"/>
              <w:rPr>
                <w:rFonts w:ascii="Source Sans Pro ExtraLight" w:eastAsia="Times New Roman" w:hAnsi="Source Sans Pro ExtraLight" w:cs="Times New Roman"/>
                <w:color w:val="000000"/>
                <w:lang w:eastAsia="en-AU"/>
              </w:rPr>
            </w:pPr>
            <w:r w:rsidRPr="00123C53">
              <w:rPr>
                <w:rFonts w:ascii="Source Sans Pro ExtraLight" w:eastAsia="Times New Roman" w:hAnsi="Source Sans Pro ExtraLight" w:cs="Times New Roman"/>
                <w:color w:val="000000"/>
                <w:lang w:eastAsia="en-AU"/>
              </w:rPr>
              <w:t>$49,670</w:t>
            </w:r>
          </w:p>
        </w:tc>
      </w:tr>
      <w:tr w:rsidR="001F1A69" w:rsidRPr="00123C53" w:rsidTr="007A2EED">
        <w:trPr>
          <w:cantSplit/>
        </w:trPr>
        <w:tc>
          <w:tcPr>
            <w:tcW w:w="713" w:type="pct"/>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MARSS Australia Inc.</w:t>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p>
        </w:tc>
        <w:tc>
          <w:tcPr>
            <w:tcW w:w="1021"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English for Work Entry Program (EWE)</w:t>
            </w:r>
          </w:p>
        </w:tc>
        <w:tc>
          <w:tcPr>
            <w:tcW w:w="2924" w:type="pct"/>
            <w:gridSpan w:val="2"/>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Helvetica"/>
                <w:color w:val="333333"/>
                <w:lang w:val="en" w:eastAsia="en-AU"/>
              </w:rPr>
              <w:t>This project is designed to assist culturally and linguistically diverse Canberrans to overcome English language, learning and workplace literacy barriers that inhibit them from obtaining employment. Participants will cultivate Level 2 and 3 work-related foundation skills in an accessible and inclusive community setting, with support to build confidence, and to acquire the skills and knowledge necessary to effectively communicate with others within a working environment.</w:t>
            </w:r>
          </w:p>
        </w:tc>
        <w:tc>
          <w:tcPr>
            <w:tcW w:w="342" w:type="pct"/>
            <w:gridSpan w:val="2"/>
            <w:shd w:val="clear" w:color="auto" w:fill="auto"/>
            <w:vAlign w:val="bottom"/>
          </w:tcPr>
          <w:p w:rsidR="001F1A69" w:rsidRPr="00123C53" w:rsidRDefault="001F1A69" w:rsidP="007A2EED">
            <w:pPr>
              <w:spacing w:before="240"/>
              <w:jc w:val="right"/>
              <w:rPr>
                <w:rFonts w:ascii="Source Sans Pro ExtraLight" w:eastAsia="Times New Roman" w:hAnsi="Source Sans Pro ExtraLight" w:cs="Times New Roman"/>
                <w:color w:val="000000"/>
                <w:lang w:eastAsia="en-AU"/>
              </w:rPr>
            </w:pPr>
            <w:r w:rsidRPr="00123C53">
              <w:rPr>
                <w:rFonts w:ascii="Source Sans Pro ExtraLight" w:eastAsia="Times New Roman" w:hAnsi="Source Sans Pro ExtraLight" w:cs="Times New Roman"/>
                <w:color w:val="000000"/>
                <w:lang w:eastAsia="en-AU"/>
              </w:rPr>
              <w:t>$49,670</w:t>
            </w:r>
          </w:p>
        </w:tc>
      </w:tr>
      <w:tr w:rsidR="001F1A69" w:rsidRPr="00123C53" w:rsidTr="007A2EED">
        <w:trPr>
          <w:cantSplit/>
        </w:trPr>
        <w:tc>
          <w:tcPr>
            <w:tcW w:w="713" w:type="pct"/>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lastRenderedPageBreak/>
              <w:t>Support Asian Women's Friendship Association Inc.</w:t>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p>
        </w:tc>
        <w:tc>
          <w:tcPr>
            <w:tcW w:w="1021"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Stepping Up: CALD Adults Learning Workplace Computer and English Skills</w:t>
            </w:r>
          </w:p>
        </w:tc>
        <w:tc>
          <w:tcPr>
            <w:tcW w:w="2924" w:type="pct"/>
            <w:gridSpan w:val="2"/>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Helvetica"/>
                <w:color w:val="333333"/>
                <w:lang w:val="en" w:eastAsia="en-AU"/>
              </w:rPr>
              <w:t xml:space="preserve">This project will provide advanced beginner digital literacy and English language courses for linguistically diverse Canberrans. Courses will be held at the Woden library. The digital literacy course will provide both foundational and accredited training in drafting workplace documents, communicating via email, and using a variety of office technologies and computer applications. Upon completion, participants will be encouraged to complete an assessment to gain recognition of their new competencies. English language course participants will enhance their reading, writing, comprehension and conversational English skills for use in workplace and social settings. </w:t>
            </w:r>
          </w:p>
        </w:tc>
        <w:tc>
          <w:tcPr>
            <w:tcW w:w="342" w:type="pct"/>
            <w:gridSpan w:val="2"/>
            <w:vAlign w:val="bottom"/>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Times New Roman"/>
                <w:color w:val="000000"/>
                <w:lang w:eastAsia="en-AU"/>
              </w:rPr>
              <w:t>$50,000</w:t>
            </w:r>
          </w:p>
        </w:tc>
      </w:tr>
      <w:tr w:rsidR="001F1A69" w:rsidRPr="00123C53" w:rsidTr="007A2EED">
        <w:trPr>
          <w:cantSplit/>
        </w:trPr>
        <w:tc>
          <w:tcPr>
            <w:tcW w:w="713" w:type="pct"/>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Tjillari Justice Aboriginal Corporation</w:t>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p>
        </w:tc>
        <w:tc>
          <w:tcPr>
            <w:tcW w:w="1021"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SOS (Surviving-Out-Side)</w:t>
            </w:r>
          </w:p>
        </w:tc>
        <w:tc>
          <w:tcPr>
            <w:tcW w:w="2924" w:type="pct"/>
            <w:gridSpan w:val="2"/>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Helvetica"/>
                <w:color w:val="333333"/>
                <w:lang w:val="en" w:eastAsia="en-AU"/>
              </w:rPr>
              <w:t xml:space="preserve">SOS is an educational program assisting at-risk Indigenous offenders who are re-entering the community after imprisonment or on community-based orders. Support will be provided to individuals and their families. </w:t>
            </w:r>
            <w:r w:rsidRPr="00123C53">
              <w:rPr>
                <w:rFonts w:ascii="Source Sans Pro ExtraLight" w:eastAsia="Times New Roman" w:hAnsi="Source Sans Pro ExtraLight" w:cs="Helvetica"/>
                <w:color w:val="333333"/>
                <w:lang w:val="en" w:eastAsia="en-AU"/>
              </w:rPr>
              <w:br/>
              <w:t xml:space="preserve">Training will be provided in digital literacy, leadership within the family, career planning, and identifying job opportunities. Participants will also be supported to overcome barriers to learning and to prepare for starting work.  </w:t>
            </w:r>
            <w:r w:rsidRPr="00123C53">
              <w:rPr>
                <w:rFonts w:ascii="Source Sans Pro ExtraLight" w:eastAsia="Times New Roman" w:hAnsi="Source Sans Pro ExtraLight" w:cs="Helvetica"/>
                <w:color w:val="333333"/>
                <w:lang w:val="en" w:eastAsia="en-AU"/>
              </w:rPr>
              <w:br/>
            </w:r>
          </w:p>
        </w:tc>
        <w:tc>
          <w:tcPr>
            <w:tcW w:w="342" w:type="pct"/>
            <w:gridSpan w:val="2"/>
            <w:vAlign w:val="bottom"/>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Times New Roman"/>
                <w:color w:val="000000"/>
                <w:lang w:eastAsia="en-AU"/>
              </w:rPr>
              <w:t>$50,000</w:t>
            </w:r>
          </w:p>
        </w:tc>
      </w:tr>
      <w:tr w:rsidR="001F1A69" w:rsidRPr="00123C53" w:rsidTr="007A2EED">
        <w:trPr>
          <w:cantSplit/>
        </w:trPr>
        <w:tc>
          <w:tcPr>
            <w:tcW w:w="713" w:type="pct"/>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UnitingCare Kippax</w:t>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p>
        </w:tc>
        <w:tc>
          <w:tcPr>
            <w:tcW w:w="1021"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Kippax Connections: Intensive Support</w:t>
            </w:r>
          </w:p>
        </w:tc>
        <w:tc>
          <w:tcPr>
            <w:tcW w:w="2924" w:type="pct"/>
            <w:gridSpan w:val="2"/>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Helvetica"/>
                <w:lang w:val="en" w:eastAsia="en-AU"/>
              </w:rPr>
              <w:t xml:space="preserve">The project will use innovative approaches to support participants to </w:t>
            </w:r>
            <w:r w:rsidRPr="00123C53">
              <w:rPr>
                <w:rFonts w:ascii="Source Sans Pro ExtraLight" w:eastAsia="Times New Roman" w:hAnsi="Source Sans Pro ExtraLight" w:cs="Helvetica"/>
                <w:color w:val="333333"/>
                <w:lang w:val="en" w:eastAsia="en-AU"/>
              </w:rPr>
              <w:t>identify employment and educational aspirations</w:t>
            </w:r>
            <w:r w:rsidRPr="00123C53">
              <w:rPr>
                <w:rFonts w:ascii="Source Sans Pro ExtraLight" w:eastAsia="Times New Roman" w:hAnsi="Source Sans Pro ExtraLight" w:cs="Helvetica"/>
                <w:lang w:val="en" w:eastAsia="en-AU"/>
              </w:rPr>
              <w:t xml:space="preserve"> and work towards their goals. </w:t>
            </w:r>
            <w:r w:rsidRPr="00123C53">
              <w:rPr>
                <w:rFonts w:ascii="Source Sans Pro ExtraLight" w:eastAsia="Times New Roman" w:hAnsi="Source Sans Pro ExtraLight" w:cs="Helvetica"/>
                <w:color w:val="333333"/>
                <w:lang w:val="en" w:eastAsia="en-AU"/>
              </w:rPr>
              <w:t xml:space="preserve">This project aims to assist participants to develop the skills and confidence to overcome barriers to future training and/or employment opportunities. Participants will also have access to </w:t>
            </w:r>
            <w:r w:rsidRPr="00123C53">
              <w:rPr>
                <w:rFonts w:ascii="Source Sans Pro ExtraLight" w:eastAsia="Times New Roman" w:hAnsi="Source Sans Pro ExtraLight" w:cs="Helvetica"/>
                <w:lang w:val="en" w:eastAsia="en-AU"/>
              </w:rPr>
              <w:t xml:space="preserve">financial and career counselling and </w:t>
            </w:r>
            <w:r w:rsidRPr="00123C53">
              <w:rPr>
                <w:rFonts w:ascii="Source Sans Pro ExtraLight" w:eastAsia="Times New Roman" w:hAnsi="Source Sans Pro ExtraLight" w:cs="Helvetica"/>
                <w:color w:val="333333"/>
                <w:lang w:val="en" w:eastAsia="en-AU"/>
              </w:rPr>
              <w:t xml:space="preserve">assistance to </w:t>
            </w:r>
            <w:r w:rsidRPr="00123C53">
              <w:rPr>
                <w:rFonts w:ascii="Source Sans Pro ExtraLight" w:eastAsia="Times New Roman" w:hAnsi="Source Sans Pro ExtraLight" w:cs="Helvetica"/>
                <w:lang w:val="en" w:eastAsia="en-AU"/>
              </w:rPr>
              <w:t xml:space="preserve">address homelessness, physical and mental health issues. </w:t>
            </w:r>
          </w:p>
        </w:tc>
        <w:tc>
          <w:tcPr>
            <w:tcW w:w="342" w:type="pct"/>
            <w:gridSpan w:val="2"/>
            <w:vAlign w:val="bottom"/>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Times New Roman"/>
                <w:color w:val="000000"/>
                <w:lang w:eastAsia="en-AU"/>
              </w:rPr>
              <w:t>$50,000</w:t>
            </w:r>
          </w:p>
        </w:tc>
      </w:tr>
      <w:tr w:rsidR="001F1A69" w:rsidRPr="00123C53" w:rsidTr="007A2EED">
        <w:trPr>
          <w:cantSplit/>
        </w:trPr>
        <w:tc>
          <w:tcPr>
            <w:tcW w:w="713" w:type="pct"/>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UnitingCare Kippax</w:t>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p>
        </w:tc>
        <w:tc>
          <w:tcPr>
            <w:tcW w:w="1021"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Kippax Pathways for CALD Disability Workers</w:t>
            </w:r>
          </w:p>
        </w:tc>
        <w:tc>
          <w:tcPr>
            <w:tcW w:w="2924" w:type="pct"/>
            <w:gridSpan w:val="2"/>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Helvetica"/>
                <w:color w:val="333333"/>
                <w:lang w:val="en" w:eastAsia="en-AU"/>
              </w:rPr>
              <w:t xml:space="preserve">This project aims to recruit workers from culturally and linguistically diverse (CALD) backgrounds into the disability workforce, with the intention of improving the access of people living with disability to appropriate and culturally sensitive support. CALD applicants willing to work within the disability sector, and meet the appropriate criteria, will be recruited as participants. Applicants assessed as job ready will be supported to enrol in accredited induction training. Applicants with barriers to participation in accredited training will be provided with individualised foundation skills training aimed at supporting transition to future training and employment. </w:t>
            </w:r>
          </w:p>
        </w:tc>
        <w:tc>
          <w:tcPr>
            <w:tcW w:w="342" w:type="pct"/>
            <w:gridSpan w:val="2"/>
            <w:vAlign w:val="bottom"/>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Times New Roman"/>
                <w:color w:val="000000"/>
                <w:lang w:eastAsia="en-AU"/>
              </w:rPr>
              <w:t>$50,000</w:t>
            </w:r>
          </w:p>
        </w:tc>
      </w:tr>
      <w:tr w:rsidR="00482145" w:rsidRPr="00482145" w:rsidTr="007A2EED">
        <w:trPr>
          <w:trHeight w:val="416"/>
        </w:trPr>
        <w:tc>
          <w:tcPr>
            <w:tcW w:w="5000" w:type="pct"/>
            <w:gridSpan w:val="7"/>
            <w:shd w:val="clear" w:color="auto" w:fill="AB4399"/>
            <w:vAlign w:val="center"/>
          </w:tcPr>
          <w:p w:rsidR="001F1A69" w:rsidRPr="00482145" w:rsidRDefault="003A32A1" w:rsidP="00482145">
            <w:pPr>
              <w:rPr>
                <w:rFonts w:ascii="Source Sans Pro" w:eastAsia="Times New Roman" w:hAnsi="Source Sans Pro" w:cs="Helvetica"/>
                <w:b/>
                <w:color w:val="FFFFFF" w:themeColor="background1"/>
                <w:lang w:val="en" w:eastAsia="en-AU"/>
              </w:rPr>
            </w:pPr>
            <w:r w:rsidRPr="00123C53">
              <w:rPr>
                <w:rFonts w:ascii="Source Sans Pro ExtraLight" w:hAnsi="Source Sans Pro ExtraLight"/>
              </w:rPr>
              <w:lastRenderedPageBreak/>
              <w:br w:type="page"/>
            </w:r>
            <w:r w:rsidR="001F1A69" w:rsidRPr="00482145">
              <w:rPr>
                <w:rFonts w:ascii="Source Sans Pro" w:eastAsia="Times New Roman" w:hAnsi="Source Sans Pro" w:cs="Helvetica"/>
                <w:b/>
                <w:color w:val="FFFFFF" w:themeColor="background1"/>
                <w:lang w:val="en" w:eastAsia="en-AU"/>
              </w:rPr>
              <w:t>Round Two Recipients</w:t>
            </w:r>
          </w:p>
        </w:tc>
      </w:tr>
      <w:tr w:rsidR="001F1A69" w:rsidRPr="00123C53" w:rsidTr="007A2EED">
        <w:trPr>
          <w:trHeight w:val="408"/>
        </w:trPr>
        <w:tc>
          <w:tcPr>
            <w:tcW w:w="1167" w:type="pct"/>
            <w:gridSpan w:val="2"/>
            <w:shd w:val="clear" w:color="auto" w:fill="E7E6E6" w:themeFill="background2"/>
            <w:vAlign w:val="center"/>
          </w:tcPr>
          <w:p w:rsidR="001F1A69" w:rsidRPr="00123C53" w:rsidRDefault="001F1A69" w:rsidP="00482145">
            <w:pPr>
              <w:rPr>
                <w:rFonts w:ascii="Source Sans Pro ExtraLight" w:eastAsia="Times New Roman" w:hAnsi="Source Sans Pro ExtraLight" w:cs="Helvetica"/>
                <w:b/>
                <w:color w:val="333333"/>
                <w:lang w:val="en" w:eastAsia="en-AU"/>
              </w:rPr>
            </w:pPr>
            <w:r w:rsidRPr="00123C53">
              <w:rPr>
                <w:rFonts w:ascii="Source Sans Pro ExtraLight" w:eastAsia="Times New Roman" w:hAnsi="Source Sans Pro ExtraLight" w:cs="Helvetica"/>
                <w:b/>
                <w:color w:val="333333"/>
                <w:lang w:val="en" w:eastAsia="en-AU"/>
              </w:rPr>
              <w:t>Organisation</w:t>
            </w:r>
          </w:p>
        </w:tc>
        <w:tc>
          <w:tcPr>
            <w:tcW w:w="920" w:type="pct"/>
            <w:gridSpan w:val="2"/>
            <w:shd w:val="clear" w:color="auto" w:fill="E7E6E6" w:themeFill="background2"/>
            <w:vAlign w:val="center"/>
          </w:tcPr>
          <w:p w:rsidR="001F1A69" w:rsidRPr="00123C53" w:rsidRDefault="001F1A69" w:rsidP="00482145">
            <w:pPr>
              <w:rPr>
                <w:rFonts w:ascii="Source Sans Pro ExtraLight" w:eastAsia="Times New Roman" w:hAnsi="Source Sans Pro ExtraLight" w:cs="Helvetica"/>
                <w:b/>
                <w:color w:val="333333"/>
                <w:lang w:val="en" w:eastAsia="en-AU"/>
              </w:rPr>
            </w:pPr>
            <w:r w:rsidRPr="00123C53">
              <w:rPr>
                <w:rFonts w:ascii="Source Sans Pro ExtraLight" w:eastAsia="Times New Roman" w:hAnsi="Source Sans Pro ExtraLight" w:cs="Helvetica"/>
                <w:b/>
                <w:color w:val="333333"/>
                <w:lang w:val="en" w:eastAsia="en-AU"/>
              </w:rPr>
              <w:t>Project Title</w:t>
            </w:r>
          </w:p>
        </w:tc>
        <w:tc>
          <w:tcPr>
            <w:tcW w:w="2595" w:type="pct"/>
            <w:gridSpan w:val="2"/>
            <w:shd w:val="clear" w:color="auto" w:fill="E7E6E6" w:themeFill="background2"/>
            <w:vAlign w:val="center"/>
          </w:tcPr>
          <w:p w:rsidR="001F1A69" w:rsidRPr="00123C53" w:rsidRDefault="001F1A69" w:rsidP="00482145">
            <w:pPr>
              <w:rPr>
                <w:rFonts w:ascii="Source Sans Pro ExtraLight" w:eastAsia="Times New Roman" w:hAnsi="Source Sans Pro ExtraLight" w:cs="Helvetica"/>
                <w:b/>
                <w:color w:val="333333"/>
                <w:lang w:val="en" w:eastAsia="en-AU"/>
              </w:rPr>
            </w:pPr>
            <w:r w:rsidRPr="00123C53">
              <w:rPr>
                <w:rFonts w:ascii="Source Sans Pro ExtraLight" w:eastAsia="Times New Roman" w:hAnsi="Source Sans Pro ExtraLight" w:cs="Helvetica"/>
                <w:b/>
                <w:color w:val="333333"/>
                <w:lang w:val="en" w:eastAsia="en-AU"/>
              </w:rPr>
              <w:t>Project Description</w:t>
            </w:r>
          </w:p>
        </w:tc>
        <w:tc>
          <w:tcPr>
            <w:tcW w:w="319" w:type="pct"/>
            <w:shd w:val="clear" w:color="auto" w:fill="E7E6E6" w:themeFill="background2"/>
            <w:vAlign w:val="center"/>
          </w:tcPr>
          <w:p w:rsidR="001F1A69" w:rsidRPr="00123C53" w:rsidRDefault="001F1A69" w:rsidP="00482145">
            <w:pPr>
              <w:rPr>
                <w:rFonts w:ascii="Source Sans Pro ExtraLight" w:eastAsia="Times New Roman" w:hAnsi="Source Sans Pro ExtraLight" w:cs="Helvetica"/>
                <w:b/>
                <w:color w:val="333333"/>
                <w:lang w:val="en" w:eastAsia="en-AU"/>
              </w:rPr>
            </w:pPr>
            <w:r w:rsidRPr="00123C53">
              <w:rPr>
                <w:rFonts w:ascii="Source Sans Pro ExtraLight" w:eastAsia="Times New Roman" w:hAnsi="Source Sans Pro ExtraLight" w:cs="Helvetica"/>
                <w:b/>
                <w:color w:val="333333"/>
                <w:lang w:val="en" w:eastAsia="en-AU"/>
              </w:rPr>
              <w:t>Grant</w:t>
            </w:r>
          </w:p>
        </w:tc>
      </w:tr>
      <w:tr w:rsidR="001F1A69" w:rsidRPr="00123C53" w:rsidTr="007A2EED">
        <w:tc>
          <w:tcPr>
            <w:tcW w:w="1167"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Support Asian Women's Friendship Association Inc.</w:t>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p>
        </w:tc>
        <w:tc>
          <w:tcPr>
            <w:tcW w:w="920"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Stepping Stone: CALD Background Adults Learning Basic Computer and English Skills</w:t>
            </w:r>
          </w:p>
        </w:tc>
        <w:tc>
          <w:tcPr>
            <w:tcW w:w="2595" w:type="pct"/>
            <w:gridSpan w:val="2"/>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Helvetica"/>
                <w:color w:val="333333"/>
                <w:lang w:val="en" w:eastAsia="en-AU"/>
              </w:rPr>
              <w:t xml:space="preserve">This project will provide basic digital literacy and English language courses for linguistically diverse Canberrans. Courses will be held at the Gungahlin library. The digital literacy course will provide foundational skills and knowledge required to use digital technology to undertake simple workplace tasks. The English language course will assist participants to enhance their reading, writing, comprehension and conversational English skills for use in workplace and social settings. </w:t>
            </w:r>
          </w:p>
        </w:tc>
        <w:tc>
          <w:tcPr>
            <w:tcW w:w="319" w:type="pct"/>
            <w:vAlign w:val="bottom"/>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Times New Roman"/>
                <w:color w:val="000000"/>
                <w:lang w:eastAsia="en-AU"/>
              </w:rPr>
              <w:t>$50,000</w:t>
            </w:r>
          </w:p>
        </w:tc>
      </w:tr>
      <w:tr w:rsidR="001F1A69" w:rsidRPr="00123C53" w:rsidTr="007A2EED">
        <w:tc>
          <w:tcPr>
            <w:tcW w:w="1167"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Queanbeyan Multilingual Centre Inc.</w:t>
            </w:r>
            <w:r w:rsidRPr="007A2EED">
              <w:rPr>
                <w:rFonts w:ascii="Source Sans Pro" w:eastAsia="Times New Roman" w:hAnsi="Source Sans Pro" w:cs="Helvetica"/>
                <w:color w:val="333333"/>
                <w:lang w:val="en" w:eastAsia="en-AU"/>
              </w:rPr>
              <w:br/>
            </w:r>
          </w:p>
          <w:p w:rsidR="001F1A69" w:rsidRPr="007A2EED" w:rsidRDefault="001F1A69" w:rsidP="007A2EED">
            <w:pPr>
              <w:spacing w:before="240" w:after="150"/>
              <w:rPr>
                <w:rFonts w:ascii="Source Sans Pro" w:eastAsia="Times New Roman" w:hAnsi="Source Sans Pro" w:cs="Helvetica"/>
                <w:color w:val="333333"/>
                <w:lang w:val="en" w:eastAsia="en-AU"/>
              </w:rPr>
            </w:pPr>
          </w:p>
        </w:tc>
        <w:tc>
          <w:tcPr>
            <w:tcW w:w="920"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Communications for Employment Outreach</w:t>
            </w:r>
          </w:p>
        </w:tc>
        <w:tc>
          <w:tcPr>
            <w:tcW w:w="2595" w:type="pct"/>
            <w:gridSpan w:val="2"/>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Helvetica"/>
                <w:color w:val="333333"/>
                <w:lang w:val="en" w:eastAsia="en-AU"/>
              </w:rPr>
              <w:t>This project will deliver an outreach service to vulnerable, previously isolated migrant and refugee job seekers, providing English language training in their own homes and local community centres. This project will extend the capacity of the existing Multicultural Employment Service. The training will develop foundation skills in oral communication, providing insight and familiarity to Australian workplace culture within a non-threatening environment. Barriers to employment and further education will be addressed, with tools provided to promote positive self-esteem and personal achievement.</w:t>
            </w:r>
          </w:p>
        </w:tc>
        <w:tc>
          <w:tcPr>
            <w:tcW w:w="319" w:type="pct"/>
            <w:vAlign w:val="bottom"/>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Times New Roman"/>
                <w:color w:val="000000"/>
                <w:lang w:eastAsia="en-AU"/>
              </w:rPr>
              <w:t>$46,400</w:t>
            </w:r>
          </w:p>
        </w:tc>
      </w:tr>
      <w:tr w:rsidR="001F1A69" w:rsidRPr="00123C53" w:rsidTr="007A2EED">
        <w:tc>
          <w:tcPr>
            <w:tcW w:w="1167"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Tjillari Justice Aboriginal Corporation</w:t>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r w:rsidRPr="007A2EED">
              <w:rPr>
                <w:rFonts w:ascii="Source Sans Pro" w:eastAsia="Times New Roman" w:hAnsi="Source Sans Pro" w:cs="Helvetica"/>
                <w:color w:val="333333"/>
                <w:lang w:val="en" w:eastAsia="en-AU"/>
              </w:rPr>
              <w:br/>
            </w:r>
          </w:p>
        </w:tc>
        <w:tc>
          <w:tcPr>
            <w:tcW w:w="920" w:type="pct"/>
            <w:gridSpan w:val="2"/>
          </w:tcPr>
          <w:p w:rsidR="001F1A69" w:rsidRPr="007A2EED" w:rsidRDefault="001F1A69" w:rsidP="007A2EED">
            <w:pPr>
              <w:spacing w:before="240" w:after="150"/>
              <w:rPr>
                <w:rFonts w:ascii="Source Sans Pro" w:eastAsia="Times New Roman" w:hAnsi="Source Sans Pro" w:cs="Helvetica"/>
                <w:color w:val="333333"/>
                <w:lang w:val="en" w:eastAsia="en-AU"/>
              </w:rPr>
            </w:pPr>
            <w:r w:rsidRPr="007A2EED">
              <w:rPr>
                <w:rFonts w:ascii="Source Sans Pro" w:eastAsia="Times New Roman" w:hAnsi="Source Sans Pro" w:cs="Helvetica"/>
                <w:color w:val="333333"/>
                <w:lang w:val="en" w:eastAsia="en-AU"/>
              </w:rPr>
              <w:t xml:space="preserve">More Support for </w:t>
            </w:r>
            <w:r w:rsidRPr="007A2EED">
              <w:rPr>
                <w:rFonts w:ascii="Source Sans Pro" w:eastAsia="Times New Roman" w:hAnsi="Source Sans Pro" w:cs="Helvetica"/>
                <w:color w:val="333333"/>
                <w:lang w:val="en" w:eastAsia="en-AU"/>
              </w:rPr>
              <w:br/>
              <w:t xml:space="preserve">Surviving Out Side </w:t>
            </w:r>
          </w:p>
        </w:tc>
        <w:tc>
          <w:tcPr>
            <w:tcW w:w="2595" w:type="pct"/>
            <w:gridSpan w:val="2"/>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Helvetica"/>
                <w:color w:val="333333"/>
                <w:lang w:val="en" w:eastAsia="en-AU"/>
              </w:rPr>
              <w:t>This project will extend the capacity of Tjillari’s SOS (Surviving Out Side) project to support more Indigenous ex-detainees and their families. The project’s learning activities will integrate work-related skills development with the building of strong cultural identities. The More Support for Surviving Out Side project will also provide specialist case-management support for participants in both projects.</w:t>
            </w:r>
            <w:r w:rsidRPr="00123C53">
              <w:rPr>
                <w:rFonts w:ascii="Source Sans Pro ExtraLight" w:hAnsi="Source Sans Pro ExtraLight" w:cs="Helvetica"/>
                <w:color w:val="333333"/>
                <w:lang w:val="en"/>
              </w:rPr>
              <w:t xml:space="preserve"> </w:t>
            </w:r>
          </w:p>
        </w:tc>
        <w:tc>
          <w:tcPr>
            <w:tcW w:w="319" w:type="pct"/>
            <w:vAlign w:val="bottom"/>
          </w:tcPr>
          <w:p w:rsidR="001F1A69" w:rsidRPr="00123C53" w:rsidRDefault="001F1A69" w:rsidP="007A2EED">
            <w:pPr>
              <w:spacing w:before="240" w:after="150"/>
              <w:rPr>
                <w:rFonts w:ascii="Source Sans Pro ExtraLight" w:eastAsia="Times New Roman" w:hAnsi="Source Sans Pro ExtraLight" w:cs="Helvetica"/>
                <w:color w:val="333333"/>
                <w:lang w:val="en" w:eastAsia="en-AU"/>
              </w:rPr>
            </w:pPr>
            <w:r w:rsidRPr="00123C53">
              <w:rPr>
                <w:rFonts w:ascii="Source Sans Pro ExtraLight" w:eastAsia="Times New Roman" w:hAnsi="Source Sans Pro ExtraLight" w:cs="Times New Roman"/>
                <w:color w:val="000000"/>
                <w:lang w:eastAsia="en-AU"/>
              </w:rPr>
              <w:t>$50,000</w:t>
            </w:r>
          </w:p>
        </w:tc>
      </w:tr>
    </w:tbl>
    <w:p w:rsidR="003A32A1" w:rsidRPr="00123C53" w:rsidRDefault="003A32A1" w:rsidP="003A32A1">
      <w:pPr>
        <w:spacing w:after="150" w:line="240" w:lineRule="auto"/>
        <w:rPr>
          <w:rFonts w:ascii="Source Sans Pro ExtraLight" w:eastAsia="Times New Roman" w:hAnsi="Source Sans Pro ExtraLight" w:cs="Helvetica"/>
          <w:color w:val="333333"/>
          <w:sz w:val="20"/>
          <w:szCs w:val="20"/>
          <w:lang w:val="en" w:eastAsia="en-AU"/>
        </w:rPr>
      </w:pPr>
    </w:p>
    <w:p w:rsidR="00D32D03" w:rsidRPr="00123C53" w:rsidRDefault="00D32D03" w:rsidP="003A32A1">
      <w:pPr>
        <w:spacing w:after="150" w:line="240" w:lineRule="auto"/>
        <w:rPr>
          <w:rFonts w:ascii="Source Sans Pro ExtraLight" w:eastAsia="Times New Roman" w:hAnsi="Source Sans Pro ExtraLight" w:cs="Helvetica"/>
          <w:color w:val="333333"/>
          <w:sz w:val="20"/>
          <w:szCs w:val="20"/>
          <w:lang w:val="en" w:eastAsia="en-AU"/>
        </w:rPr>
      </w:pPr>
    </w:p>
    <w:sectPr w:rsidR="00D32D03" w:rsidRPr="00123C53" w:rsidSect="007A2EED">
      <w:pgSz w:w="16838" w:h="11906" w:orient="landscape"/>
      <w:pgMar w:top="851"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F43" w:rsidRDefault="00B27F43" w:rsidP="00B27F43">
      <w:pPr>
        <w:spacing w:after="0" w:line="240" w:lineRule="auto"/>
      </w:pPr>
      <w:r>
        <w:separator/>
      </w:r>
    </w:p>
  </w:endnote>
  <w:endnote w:type="continuationSeparator" w:id="0">
    <w:p w:rsidR="00B27F43" w:rsidRDefault="00B27F43" w:rsidP="00B27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Montserrat ExtraBold">
    <w:panose1 w:val="00000900000000000000"/>
    <w:charset w:val="00"/>
    <w:family w:val="auto"/>
    <w:pitch w:val="variable"/>
    <w:sig w:usb0="2000020F" w:usb1="00000003" w:usb2="00000000" w:usb3="00000000" w:csb0="00000197" w:csb1="00000000"/>
  </w:font>
  <w:font w:name="Helvetica">
    <w:panose1 w:val="020B0604020202020204"/>
    <w:charset w:val="00"/>
    <w:family w:val="swiss"/>
    <w:notTrueType/>
    <w:pitch w:val="variable"/>
    <w:sig w:usb0="00000003" w:usb1="00000000" w:usb2="00000000" w:usb3="00000000" w:csb0="00000001" w:csb1="00000000"/>
  </w:font>
  <w:font w:name="Source Sans Pro ExtraLight">
    <w:panose1 w:val="020B0303030403020204"/>
    <w:charset w:val="00"/>
    <w:family w:val="swiss"/>
    <w:pitch w:val="variable"/>
    <w:sig w:usb0="600002F7" w:usb1="02000001" w:usb2="00000000" w:usb3="00000000" w:csb0="0000019F" w:csb1="00000000"/>
  </w:font>
  <w:font w:name="Source Sans Pro">
    <w:panose1 w:val="020B0503030403020204"/>
    <w:charset w:val="00"/>
    <w:family w:val="swiss"/>
    <w:pitch w:val="variable"/>
    <w:sig w:usb0="600002F7" w:usb1="02000001" w:usb2="00000000" w:usb3="00000000" w:csb0="0000019F" w:csb1="00000000"/>
  </w:font>
  <w:font w:name="Source Sans Pro Light">
    <w:panose1 w:val="020B04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F43" w:rsidRDefault="00B27F43" w:rsidP="00B27F43">
      <w:pPr>
        <w:spacing w:after="0" w:line="240" w:lineRule="auto"/>
      </w:pPr>
      <w:r>
        <w:separator/>
      </w:r>
    </w:p>
  </w:footnote>
  <w:footnote w:type="continuationSeparator" w:id="0">
    <w:p w:rsidR="00B27F43" w:rsidRDefault="00B27F43" w:rsidP="00B27F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16E7A"/>
    <w:multiLevelType w:val="hybridMultilevel"/>
    <w:tmpl w:val="0DDCFD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4B1E7B57"/>
    <w:multiLevelType w:val="hybridMultilevel"/>
    <w:tmpl w:val="F6DE6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C0B7B9E"/>
    <w:multiLevelType w:val="multilevel"/>
    <w:tmpl w:val="76CE5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841"/>
    <w:rsid w:val="00081570"/>
    <w:rsid w:val="000917AF"/>
    <w:rsid w:val="00092841"/>
    <w:rsid w:val="00123C53"/>
    <w:rsid w:val="001A0547"/>
    <w:rsid w:val="001F1A69"/>
    <w:rsid w:val="0029787E"/>
    <w:rsid w:val="002F0D7A"/>
    <w:rsid w:val="00300FBB"/>
    <w:rsid w:val="003A32A1"/>
    <w:rsid w:val="003F23C9"/>
    <w:rsid w:val="00460B2A"/>
    <w:rsid w:val="00461CCC"/>
    <w:rsid w:val="00482145"/>
    <w:rsid w:val="004B3D1D"/>
    <w:rsid w:val="00605711"/>
    <w:rsid w:val="006571F3"/>
    <w:rsid w:val="006607A6"/>
    <w:rsid w:val="006E257A"/>
    <w:rsid w:val="006E328F"/>
    <w:rsid w:val="0070263E"/>
    <w:rsid w:val="00723E2D"/>
    <w:rsid w:val="0074255E"/>
    <w:rsid w:val="00751829"/>
    <w:rsid w:val="00790F4E"/>
    <w:rsid w:val="007A2EED"/>
    <w:rsid w:val="00801E09"/>
    <w:rsid w:val="008029D6"/>
    <w:rsid w:val="0085029D"/>
    <w:rsid w:val="00851C78"/>
    <w:rsid w:val="008D1A20"/>
    <w:rsid w:val="009017C6"/>
    <w:rsid w:val="00942CC6"/>
    <w:rsid w:val="00984A77"/>
    <w:rsid w:val="00985BF0"/>
    <w:rsid w:val="009A24DF"/>
    <w:rsid w:val="00A0086C"/>
    <w:rsid w:val="00A1197D"/>
    <w:rsid w:val="00A12939"/>
    <w:rsid w:val="00A636DC"/>
    <w:rsid w:val="00AA2DDA"/>
    <w:rsid w:val="00B27F43"/>
    <w:rsid w:val="00B31C25"/>
    <w:rsid w:val="00B9024D"/>
    <w:rsid w:val="00BA7095"/>
    <w:rsid w:val="00BF2F7E"/>
    <w:rsid w:val="00C62DC3"/>
    <w:rsid w:val="00C970C2"/>
    <w:rsid w:val="00CF776F"/>
    <w:rsid w:val="00D32D03"/>
    <w:rsid w:val="00D43E01"/>
    <w:rsid w:val="00D708FD"/>
    <w:rsid w:val="00D8405B"/>
    <w:rsid w:val="00DB13A7"/>
    <w:rsid w:val="00DD621F"/>
    <w:rsid w:val="00DF3B14"/>
    <w:rsid w:val="00DF4C69"/>
    <w:rsid w:val="00E019FA"/>
    <w:rsid w:val="00E73119"/>
    <w:rsid w:val="00EF44BE"/>
    <w:rsid w:val="00F515F9"/>
    <w:rsid w:val="00F667BC"/>
    <w:rsid w:val="00FB2EE7"/>
    <w:rsid w:val="00FC62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CDFBB0-7DAC-4AFD-9066-260CD5230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C626B"/>
    <w:pPr>
      <w:spacing w:before="525" w:after="150" w:line="240" w:lineRule="auto"/>
      <w:outlineLvl w:val="2"/>
    </w:pPr>
    <w:rPr>
      <w:rFonts w:ascii="inherit" w:eastAsia="Times New Roman" w:hAnsi="inherit" w:cs="Times New Roman"/>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C626B"/>
    <w:rPr>
      <w:rFonts w:ascii="inherit" w:eastAsia="Times New Roman" w:hAnsi="inherit" w:cs="Times New Roman"/>
      <w:sz w:val="36"/>
      <w:szCs w:val="36"/>
      <w:lang w:eastAsia="en-AU"/>
    </w:rPr>
  </w:style>
  <w:style w:type="paragraph" w:styleId="NormalWeb">
    <w:name w:val="Normal (Web)"/>
    <w:basedOn w:val="Normal"/>
    <w:uiPriority w:val="99"/>
    <w:semiHidden/>
    <w:unhideWhenUsed/>
    <w:rsid w:val="00FC626B"/>
    <w:pPr>
      <w:spacing w:after="150"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AA2DDA"/>
    <w:pPr>
      <w:ind w:left="720"/>
      <w:contextualSpacing/>
    </w:pPr>
  </w:style>
  <w:style w:type="table" w:styleId="TableGrid">
    <w:name w:val="Table Grid"/>
    <w:basedOn w:val="TableNormal"/>
    <w:uiPriority w:val="39"/>
    <w:rsid w:val="00D32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7F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7F43"/>
  </w:style>
  <w:style w:type="paragraph" w:styleId="Footer">
    <w:name w:val="footer"/>
    <w:basedOn w:val="Normal"/>
    <w:link w:val="FooterChar"/>
    <w:uiPriority w:val="99"/>
    <w:unhideWhenUsed/>
    <w:rsid w:val="00B27F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7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423413">
      <w:bodyDiv w:val="1"/>
      <w:marLeft w:val="0"/>
      <w:marRight w:val="0"/>
      <w:marTop w:val="0"/>
      <w:marBottom w:val="0"/>
      <w:divBdr>
        <w:top w:val="none" w:sz="0" w:space="0" w:color="auto"/>
        <w:left w:val="none" w:sz="0" w:space="0" w:color="auto"/>
        <w:bottom w:val="none" w:sz="0" w:space="0" w:color="auto"/>
        <w:right w:val="none" w:sz="0" w:space="0" w:color="auto"/>
      </w:divBdr>
    </w:div>
    <w:div w:id="2078087314">
      <w:bodyDiv w:val="1"/>
      <w:marLeft w:val="0"/>
      <w:marRight w:val="0"/>
      <w:marTop w:val="0"/>
      <w:marBottom w:val="0"/>
      <w:divBdr>
        <w:top w:val="none" w:sz="0" w:space="0" w:color="auto"/>
        <w:left w:val="none" w:sz="0" w:space="0" w:color="auto"/>
        <w:bottom w:val="none" w:sz="0" w:space="0" w:color="auto"/>
        <w:right w:val="none" w:sz="0" w:space="0" w:color="auto"/>
      </w:divBdr>
      <w:divsChild>
        <w:div w:id="593784556">
          <w:marLeft w:val="0"/>
          <w:marRight w:val="0"/>
          <w:marTop w:val="0"/>
          <w:marBottom w:val="0"/>
          <w:divBdr>
            <w:top w:val="none" w:sz="0" w:space="0" w:color="auto"/>
            <w:left w:val="none" w:sz="0" w:space="0" w:color="auto"/>
            <w:bottom w:val="none" w:sz="0" w:space="0" w:color="auto"/>
            <w:right w:val="none" w:sz="0" w:space="0" w:color="auto"/>
          </w:divBdr>
          <w:divsChild>
            <w:div w:id="615676437">
              <w:marLeft w:val="0"/>
              <w:marRight w:val="0"/>
              <w:marTop w:val="100"/>
              <w:marBottom w:val="100"/>
              <w:divBdr>
                <w:top w:val="none" w:sz="0" w:space="0" w:color="auto"/>
                <w:left w:val="none" w:sz="0" w:space="0" w:color="auto"/>
                <w:bottom w:val="none" w:sz="0" w:space="0" w:color="auto"/>
                <w:right w:val="none" w:sz="0" w:space="0" w:color="auto"/>
              </w:divBdr>
              <w:divsChild>
                <w:div w:id="624040406">
                  <w:marLeft w:val="-225"/>
                  <w:marRight w:val="-225"/>
                  <w:marTop w:val="0"/>
                  <w:marBottom w:val="0"/>
                  <w:divBdr>
                    <w:top w:val="none" w:sz="0" w:space="0" w:color="auto"/>
                    <w:left w:val="none" w:sz="0" w:space="0" w:color="auto"/>
                    <w:bottom w:val="none" w:sz="0" w:space="0" w:color="auto"/>
                    <w:right w:val="none" w:sz="0" w:space="0" w:color="auto"/>
                  </w:divBdr>
                  <w:divsChild>
                    <w:div w:id="2137210802">
                      <w:marLeft w:val="0"/>
                      <w:marRight w:val="0"/>
                      <w:marTop w:val="0"/>
                      <w:marBottom w:val="0"/>
                      <w:divBdr>
                        <w:top w:val="none" w:sz="0" w:space="0" w:color="auto"/>
                        <w:left w:val="none" w:sz="0" w:space="0" w:color="auto"/>
                        <w:bottom w:val="none" w:sz="0" w:space="0" w:color="auto"/>
                        <w:right w:val="none" w:sz="0" w:space="0" w:color="auto"/>
                      </w:divBdr>
                      <w:divsChild>
                        <w:div w:id="1545478566">
                          <w:marLeft w:val="0"/>
                          <w:marRight w:val="0"/>
                          <w:marTop w:val="0"/>
                          <w:marBottom w:val="0"/>
                          <w:divBdr>
                            <w:top w:val="none" w:sz="0" w:space="0" w:color="auto"/>
                            <w:left w:val="none" w:sz="0" w:space="0" w:color="auto"/>
                            <w:bottom w:val="none" w:sz="0" w:space="0" w:color="auto"/>
                            <w:right w:val="none" w:sz="0" w:space="0" w:color="auto"/>
                          </w:divBdr>
                          <w:divsChild>
                            <w:div w:id="1411001693">
                              <w:marLeft w:val="0"/>
                              <w:marRight w:val="0"/>
                              <w:marTop w:val="0"/>
                              <w:marBottom w:val="0"/>
                              <w:divBdr>
                                <w:top w:val="none" w:sz="0" w:space="0" w:color="auto"/>
                                <w:left w:val="none" w:sz="0" w:space="0" w:color="auto"/>
                                <w:bottom w:val="none" w:sz="0" w:space="0" w:color="auto"/>
                                <w:right w:val="none" w:sz="0" w:space="0" w:color="auto"/>
                              </w:divBdr>
                              <w:divsChild>
                                <w:div w:id="2143577941">
                                  <w:marLeft w:val="0"/>
                                  <w:marRight w:val="0"/>
                                  <w:marTop w:val="0"/>
                                  <w:marBottom w:val="0"/>
                                  <w:divBdr>
                                    <w:top w:val="none" w:sz="0" w:space="0" w:color="auto"/>
                                    <w:left w:val="none" w:sz="0" w:space="0" w:color="auto"/>
                                    <w:bottom w:val="none" w:sz="0" w:space="0" w:color="auto"/>
                                    <w:right w:val="none" w:sz="0" w:space="0" w:color="auto"/>
                                  </w:divBdr>
                                  <w:divsChild>
                                    <w:div w:id="116871227">
                                      <w:marLeft w:val="0"/>
                                      <w:marRight w:val="0"/>
                                      <w:marTop w:val="0"/>
                                      <w:marBottom w:val="0"/>
                                      <w:divBdr>
                                        <w:top w:val="none" w:sz="0" w:space="0" w:color="auto"/>
                                        <w:left w:val="none" w:sz="0" w:space="0" w:color="auto"/>
                                        <w:bottom w:val="none" w:sz="0" w:space="0" w:color="auto"/>
                                        <w:right w:val="none" w:sz="0" w:space="0" w:color="auto"/>
                                      </w:divBdr>
                                      <w:divsChild>
                                        <w:div w:id="213272968">
                                          <w:marLeft w:val="-225"/>
                                          <w:marRight w:val="-225"/>
                                          <w:marTop w:val="0"/>
                                          <w:marBottom w:val="0"/>
                                          <w:divBdr>
                                            <w:top w:val="none" w:sz="0" w:space="0" w:color="auto"/>
                                            <w:left w:val="none" w:sz="0" w:space="0" w:color="auto"/>
                                            <w:bottom w:val="none" w:sz="0" w:space="0" w:color="auto"/>
                                            <w:right w:val="none" w:sz="0" w:space="0" w:color="auto"/>
                                          </w:divBdr>
                                          <w:divsChild>
                                            <w:div w:id="35549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981</Words>
  <Characters>5592</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6560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Iliffe, Toni</dc:creator>
  <cp:keywords/>
  <dc:description/>
  <cp:lastModifiedBy>Marshall, Brian</cp:lastModifiedBy>
  <cp:revision>2</cp:revision>
  <dcterms:created xsi:type="dcterms:W3CDTF">2019-08-15T23:59:00Z</dcterms:created>
  <dcterms:modified xsi:type="dcterms:W3CDTF">2019-08-15T23:59:00Z</dcterms:modified>
</cp:coreProperties>
</file>