
<file path=[Content_Types].xml><?xml version="1.0" encoding="utf-8"?>
<Types xmlns="http://schemas.openxmlformats.org/package/2006/content-types">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5C4095" w14:textId="77777777" w:rsidR="000A2FFC" w:rsidRDefault="00E753AA">
      <w:bookmarkStart w:id="0" w:name="_GoBack"/>
      <w:r>
        <w:rPr>
          <w:noProof/>
        </w:rPr>
        <w:drawing>
          <wp:anchor distT="0" distB="0" distL="114300" distR="114300" simplePos="0" relativeHeight="251683840" behindDoc="1" locked="0" layoutInCell="1" allowOverlap="1" wp14:anchorId="46069B44" wp14:editId="24DC3B13">
            <wp:simplePos x="0" y="0"/>
            <wp:positionH relativeFrom="page">
              <wp:posOffset>-10795</wp:posOffset>
            </wp:positionH>
            <wp:positionV relativeFrom="page">
              <wp:posOffset>-37325</wp:posOffset>
            </wp:positionV>
            <wp:extent cx="7619913" cy="10778490"/>
            <wp:effectExtent l="0" t="0" r="635" b="3810"/>
            <wp:wrapNone/>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ts ACT-cover background.jp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flipV="1">
                      <a:off x="0" y="0"/>
                      <a:ext cx="7619913" cy="10778490"/>
                    </a:xfrm>
                    <a:prstGeom prst="rect">
                      <a:avLst/>
                    </a:prstGeom>
                    <a:noFill/>
                  </pic:spPr>
                </pic:pic>
              </a:graphicData>
            </a:graphic>
          </wp:anchor>
        </w:drawing>
      </w:r>
      <w:bookmarkEnd w:id="0"/>
      <w:r w:rsidR="0089332C">
        <w:rPr>
          <w:noProof/>
        </w:rPr>
        <w:drawing>
          <wp:anchor distT="0" distB="0" distL="114300" distR="114300" simplePos="0" relativeHeight="251665408" behindDoc="0" locked="0" layoutInCell="1" allowOverlap="1" wp14:anchorId="5E55FE45" wp14:editId="24088CA3">
            <wp:simplePos x="0" y="0"/>
            <wp:positionH relativeFrom="margin">
              <wp:posOffset>0</wp:posOffset>
            </wp:positionH>
            <wp:positionV relativeFrom="page">
              <wp:posOffset>1440180</wp:posOffset>
            </wp:positionV>
            <wp:extent cx="1413510" cy="723265"/>
            <wp:effectExtent l="19050" t="0" r="0" b="0"/>
            <wp:wrapSquare wrapText="bothSides"/>
            <wp:docPr id="7" name="Picture 4" descr="ACTGov_inline_black.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CTGov_inline_black.wmf"/>
                    <pic:cNvPicPr>
                      <a:picLocks noChangeAspect="1" noChangeArrowheads="1"/>
                    </pic:cNvPicPr>
                  </pic:nvPicPr>
                  <pic:blipFill>
                    <a:blip r:embed="rId12" cstate="print"/>
                    <a:srcRect/>
                    <a:stretch>
                      <a:fillRect/>
                    </a:stretch>
                  </pic:blipFill>
                  <pic:spPr bwMode="auto">
                    <a:xfrm>
                      <a:off x="0" y="0"/>
                      <a:ext cx="1413510" cy="723265"/>
                    </a:xfrm>
                    <a:prstGeom prst="rect">
                      <a:avLst/>
                    </a:prstGeom>
                    <a:noFill/>
                  </pic:spPr>
                </pic:pic>
              </a:graphicData>
            </a:graphic>
          </wp:anchor>
        </w:drawing>
      </w:r>
    </w:p>
    <w:sdt>
      <w:sdtPr>
        <w:id w:val="440470352"/>
        <w:docPartObj>
          <w:docPartGallery w:val="Cover Pages"/>
          <w:docPartUnique/>
        </w:docPartObj>
      </w:sdtPr>
      <w:sdtEndPr>
        <w:rPr>
          <w:rFonts w:asciiTheme="majorHAnsi" w:eastAsia="Times New Roman" w:hAnsiTheme="majorHAnsi"/>
          <w:caps/>
          <w:noProof/>
          <w:color w:val="482D8C" w:themeColor="background2"/>
          <w:sz w:val="36"/>
          <w:szCs w:val="40"/>
        </w:rPr>
      </w:sdtEndPr>
      <w:sdtContent>
        <w:p w14:paraId="7A268438" w14:textId="77777777" w:rsidR="00F875BD" w:rsidRDefault="00F875BD"/>
        <w:p w14:paraId="32AB4E5B" w14:textId="77777777" w:rsidR="00F875BD" w:rsidRDefault="004C12CF">
          <w:pPr>
            <w:spacing w:line="276" w:lineRule="auto"/>
            <w:rPr>
              <w:rFonts w:asciiTheme="majorHAnsi" w:eastAsia="Times New Roman" w:hAnsiTheme="majorHAnsi"/>
              <w:caps/>
              <w:noProof/>
              <w:color w:val="482D8C" w:themeColor="background2"/>
              <w:sz w:val="36"/>
              <w:szCs w:val="40"/>
            </w:rPr>
          </w:pPr>
          <w:r>
            <w:rPr>
              <w:rFonts w:asciiTheme="majorHAnsi" w:eastAsia="Times New Roman" w:hAnsiTheme="majorHAnsi"/>
              <w:caps/>
              <w:noProof/>
              <w:color w:val="482D8C" w:themeColor="background2"/>
              <w:sz w:val="36"/>
              <w:szCs w:val="40"/>
            </w:rPr>
            <mc:AlternateContent>
              <mc:Choice Requires="wps">
                <w:drawing>
                  <wp:anchor distT="0" distB="0" distL="114300" distR="114300" simplePos="0" relativeHeight="251667456" behindDoc="0" locked="0" layoutInCell="1" allowOverlap="1" wp14:anchorId="77080E72" wp14:editId="7D651E09">
                    <wp:simplePos x="0" y="0"/>
                    <wp:positionH relativeFrom="margin">
                      <wp:posOffset>-207010</wp:posOffset>
                    </wp:positionH>
                    <wp:positionV relativeFrom="page">
                      <wp:posOffset>7810500</wp:posOffset>
                    </wp:positionV>
                    <wp:extent cx="5585460" cy="916940"/>
                    <wp:effectExtent l="0" t="0" r="0" b="0"/>
                    <wp:wrapNone/>
                    <wp:docPr id="2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5460" cy="916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125FB9" w14:textId="786CA8E8" w:rsidR="00246AAC" w:rsidRPr="000016B9" w:rsidRDefault="004C12CF" w:rsidP="0089332C">
                                <w:pPr>
                                  <w:pStyle w:val="Intro"/>
                                  <w:rPr>
                                    <w:caps/>
                                    <w:color w:val="FFFFFF"/>
                                  </w:rPr>
                                </w:pPr>
                                <w:r>
                                  <w:rPr>
                                    <w:color w:val="FFFFFF"/>
                                  </w:rPr>
                                  <w:t xml:space="preserve">Skills Canberra </w:t>
                                </w:r>
                                <w:r w:rsidR="00E666BB" w:rsidRPr="000016B9">
                                  <w:rPr>
                                    <w:color w:val="FFFFFF"/>
                                  </w:rPr>
                                  <w:br/>
                                </w:r>
                                <w:r>
                                  <w:rPr>
                                    <w:color w:val="FFFFFF"/>
                                  </w:rPr>
                                  <w:t>Chief Minister, Treasury and Economic Development</w:t>
                                </w:r>
                                <w:r w:rsidR="00B55EDC">
                                  <w:rPr>
                                    <w:color w:val="FFFFFF"/>
                                  </w:rPr>
                                  <w:t xml:space="preserve"> Directorate</w:t>
                                </w:r>
                              </w:p>
                              <w:p w14:paraId="73EF3AC2" w14:textId="48D8E87D" w:rsidR="00246AAC" w:rsidRPr="000016B9" w:rsidRDefault="004C12CF" w:rsidP="0089332C">
                                <w:pPr>
                                  <w:pStyle w:val="Intro"/>
                                  <w:rPr>
                                    <w:caps/>
                                    <w:color w:val="FFFFFF"/>
                                  </w:rPr>
                                </w:pPr>
                                <w:r>
                                  <w:rPr>
                                    <w:color w:val="FFFFFF"/>
                                  </w:rPr>
                                  <w:t>November</w:t>
                                </w:r>
                                <w:r w:rsidR="00E666BB" w:rsidRPr="000016B9">
                                  <w:rPr>
                                    <w:color w:val="FFFFFF"/>
                                  </w:rPr>
                                  <w:t xml:space="preserve"> 201</w:t>
                                </w:r>
                                <w:r>
                                  <w:rPr>
                                    <w:color w:val="FFFFFF"/>
                                  </w:rPr>
                                  <w:t>8</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7080E72" id="_x0000_t202" coordsize="21600,21600" o:spt="202" path="m,l,21600r21600,l21600,xe">
                    <v:stroke joinstyle="miter"/>
                    <v:path gradientshapeok="t" o:connecttype="rect"/>
                  </v:shapetype>
                  <v:shape id="Text Box 10" o:spid="_x0000_s1026" type="#_x0000_t202" style="position:absolute;margin-left:-16.3pt;margin-top:615pt;width:439.8pt;height:72.2pt;z-index:251667456;visibility:visible;mso-wrap-style:square;mso-width-percent:0;mso-height-percent:200;mso-wrap-distance-left:9pt;mso-wrap-distance-top:0;mso-wrap-distance-right:9pt;mso-wrap-distance-bottom:0;mso-position-horizontal:absolute;mso-position-horizontal-relative:margin;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" filled="f" stroked="f">
                    <v:textbox style="mso-fit-shape-to-text:t">
                      <w:txbxContent>
                        <w:p w14:paraId="78125FB9" w14:textId="786CA8E8" w:rsidR="00246AAC" w:rsidRPr="000016B9" w:rsidRDefault="004C12CF" w:rsidP="0089332C">
                          <w:pPr>
                            <w:pStyle w:val="Intro"/>
                            <w:rPr>
                              <w:caps/>
                              <w:color w:val="FFFFFF"/>
                            </w:rPr>
                          </w:pPr>
                          <w:r>
                            <w:rPr>
                              <w:color w:val="FFFFFF"/>
                            </w:rPr>
                            <w:t xml:space="preserve">Skills Canberra </w:t>
                          </w:r>
                          <w:r w:rsidR="00E666BB" w:rsidRPr="000016B9">
                            <w:rPr>
                              <w:color w:val="FFFFFF"/>
                            </w:rPr>
                            <w:br/>
                          </w:r>
                          <w:r>
                            <w:rPr>
                              <w:color w:val="FFFFFF"/>
                            </w:rPr>
                            <w:t>Chief Minister, Treasury and Economic Development</w:t>
                          </w:r>
                          <w:r w:rsidR="00B55EDC">
                            <w:rPr>
                              <w:color w:val="FFFFFF"/>
                            </w:rPr>
                            <w:t xml:space="preserve"> Directorate</w:t>
                          </w:r>
                        </w:p>
                        <w:p w14:paraId="73EF3AC2" w14:textId="48D8E87D" w:rsidR="00246AAC" w:rsidRPr="000016B9" w:rsidRDefault="004C12CF" w:rsidP="0089332C">
                          <w:pPr>
                            <w:pStyle w:val="Intro"/>
                            <w:rPr>
                              <w:caps/>
                              <w:color w:val="FFFFFF"/>
                            </w:rPr>
                          </w:pPr>
                          <w:r>
                            <w:rPr>
                              <w:color w:val="FFFFFF"/>
                            </w:rPr>
                            <w:t>November</w:t>
                          </w:r>
                          <w:r w:rsidR="00E666BB" w:rsidRPr="000016B9">
                            <w:rPr>
                              <w:color w:val="FFFFFF"/>
                            </w:rPr>
                            <w:t xml:space="preserve"> 201</w:t>
                          </w:r>
                          <w:r>
                            <w:rPr>
                              <w:color w:val="FFFFFF"/>
                            </w:rPr>
                            <w:t>8</w:t>
                          </w:r>
                        </w:p>
                      </w:txbxContent>
                    </v:textbox>
                    <w10:wrap anchorx="margin" anchory="page"/>
                  </v:shape>
                </w:pict>
              </mc:Fallback>
            </mc:AlternateContent>
          </w:r>
          <w:r>
            <w:rPr>
              <w:rFonts w:asciiTheme="majorHAnsi" w:eastAsia="Times New Roman" w:hAnsiTheme="majorHAnsi"/>
              <w:caps/>
              <w:noProof/>
              <w:color w:val="482D8C" w:themeColor="background2"/>
              <w:sz w:val="36"/>
              <w:szCs w:val="40"/>
            </w:rPr>
            <mc:AlternateContent>
              <mc:Choice Requires="wps">
                <w:drawing>
                  <wp:anchor distT="0" distB="0" distL="114300" distR="114300" simplePos="0" relativeHeight="251666432" behindDoc="0" locked="0" layoutInCell="1" allowOverlap="1" wp14:anchorId="44E7A902" wp14:editId="064B92FD">
                    <wp:simplePos x="0" y="0"/>
                    <wp:positionH relativeFrom="margin">
                      <wp:posOffset>-214630</wp:posOffset>
                    </wp:positionH>
                    <wp:positionV relativeFrom="page">
                      <wp:posOffset>5554980</wp:posOffset>
                    </wp:positionV>
                    <wp:extent cx="6393180" cy="1805305"/>
                    <wp:effectExtent l="0" t="0" r="0" b="4445"/>
                    <wp:wrapNone/>
                    <wp:docPr id="2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3180" cy="1805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9146AB" w14:textId="77777777" w:rsidR="00246AAC" w:rsidRPr="00731AE2" w:rsidRDefault="004C12CF" w:rsidP="0089332C">
                                <w:pPr>
                                  <w:pStyle w:val="Title"/>
                                  <w:rPr>
                                    <w:color w:val="FFFFFF"/>
                                  </w:rPr>
                                </w:pPr>
                                <w:r w:rsidRPr="004C12CF">
                                  <w:rPr>
                                    <w:color w:val="FFFFFF"/>
                                  </w:rPr>
                                  <w:t>2018 ACT WOMEN IN TRADES GRANTS PROGRAM</w:t>
                                </w:r>
                              </w:p>
                              <w:p w14:paraId="5D50D6F3" w14:textId="77777777" w:rsidR="00246AAC" w:rsidRDefault="004C12CF" w:rsidP="0089332C">
                                <w:pPr>
                                  <w:pStyle w:val="Subtitle"/>
                                  <w:rPr>
                                    <w:color w:val="FFFFFF"/>
                                  </w:rPr>
                                </w:pPr>
                                <w:r>
                                  <w:rPr>
                                    <w:color w:val="FFFFFF"/>
                                  </w:rPr>
                                  <w:t>Round Two</w:t>
                                </w:r>
                              </w:p>
                              <w:p w14:paraId="01531766" w14:textId="77777777" w:rsidR="004C12CF" w:rsidRDefault="004C12CF" w:rsidP="004C12CF">
                                <w:pPr>
                                  <w:pStyle w:val="Subtitle"/>
                                  <w:rPr>
                                    <w:color w:val="FFFFFF"/>
                                  </w:rPr>
                                </w:pPr>
                                <w:r w:rsidRPr="004C12CF">
                                  <w:rPr>
                                    <w:color w:val="FFFFFF"/>
                                  </w:rPr>
                                  <w:t>Application Guidelines</w:t>
                                </w:r>
                              </w:p>
                              <w:p w14:paraId="6BB565D7" w14:textId="77777777" w:rsidR="004C12CF" w:rsidRDefault="004C12CF" w:rsidP="0089332C">
                                <w:pPr>
                                  <w:pStyle w:val="Subtitle"/>
                                  <w:rPr>
                                    <w:color w:val="FFFFFF"/>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4E7A902" id="Text Box 9" o:spid="_x0000_s1027" type="#_x0000_t202" style="position:absolute;margin-left:-16.9pt;margin-top:437.4pt;width:503.4pt;height:142.1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" filled="f" stroked="f">
                    <v:textbox>
                      <w:txbxContent>
                        <w:p w14:paraId="219146AB" w14:textId="77777777" w:rsidR="00246AAC" w:rsidRPr="00731AE2" w:rsidRDefault="004C12CF" w:rsidP="0089332C">
                          <w:pPr>
                            <w:pStyle w:val="Title"/>
                            <w:rPr>
                              <w:color w:val="FFFFFF"/>
                            </w:rPr>
                          </w:pPr>
                          <w:r w:rsidRPr="004C12CF">
                            <w:rPr>
                              <w:color w:val="FFFFFF"/>
                            </w:rPr>
                            <w:t>2018 ACT WOMEN IN TRADES GRANTS PROGRAM</w:t>
                          </w:r>
                        </w:p>
                        <w:p w14:paraId="5D50D6F3" w14:textId="77777777" w:rsidR="00246AAC" w:rsidRDefault="004C12CF" w:rsidP="0089332C">
                          <w:pPr>
                            <w:pStyle w:val="Subtitle"/>
                            <w:rPr>
                              <w:color w:val="FFFFFF"/>
                            </w:rPr>
                          </w:pPr>
                          <w:r>
                            <w:rPr>
                              <w:color w:val="FFFFFF"/>
                            </w:rPr>
                            <w:t>Round Two</w:t>
                          </w:r>
                        </w:p>
                        <w:p w14:paraId="01531766" w14:textId="77777777" w:rsidR="004C12CF" w:rsidRDefault="004C12CF" w:rsidP="004C12CF">
                          <w:pPr>
                            <w:pStyle w:val="Subtitle"/>
                            <w:rPr>
                              <w:color w:val="FFFFFF"/>
                            </w:rPr>
                          </w:pPr>
                          <w:r w:rsidRPr="004C12CF">
                            <w:rPr>
                              <w:color w:val="FFFFFF"/>
                            </w:rPr>
                            <w:t>Application Guidelines</w:t>
                          </w:r>
                        </w:p>
                        <w:p w14:paraId="6BB565D7" w14:textId="77777777" w:rsidR="004C12CF" w:rsidRDefault="004C12CF" w:rsidP="0089332C">
                          <w:pPr>
                            <w:pStyle w:val="Subtitle"/>
                            <w:rPr>
                              <w:color w:val="FFFFFF"/>
                            </w:rPr>
                          </w:pPr>
                        </w:p>
                      </w:txbxContent>
                    </v:textbox>
                    <w10:wrap anchorx="margin" anchory="page"/>
                  </v:shape>
                </w:pict>
              </mc:Fallback>
            </mc:AlternateContent>
          </w:r>
          <w:r w:rsidR="00F875BD">
            <w:rPr>
              <w:rFonts w:asciiTheme="majorHAnsi" w:eastAsia="Times New Roman" w:hAnsiTheme="majorHAnsi"/>
              <w:caps/>
              <w:noProof/>
              <w:color w:val="482D8C" w:themeColor="background2"/>
              <w:sz w:val="36"/>
              <w:szCs w:val="40"/>
            </w:rPr>
            <w:br w:type="page"/>
          </w:r>
        </w:p>
      </w:sdtContent>
    </w:sdt>
    <w:p w14:paraId="70E9D631" w14:textId="77777777" w:rsidR="002D33BC" w:rsidRPr="005115E8" w:rsidRDefault="002D33BC" w:rsidP="005115E8">
      <w:pPr>
        <w:pStyle w:val="TOC1"/>
      </w:pPr>
      <w:r w:rsidRPr="005115E8">
        <w:lastRenderedPageBreak/>
        <w:t>Content</w:t>
      </w:r>
      <w:r w:rsidR="005115E8" w:rsidRPr="005115E8">
        <w:t>s</w:t>
      </w:r>
    </w:p>
    <w:p w14:paraId="55CB0D89" w14:textId="77777777" w:rsidR="00AB6DED" w:rsidRDefault="00DD7FA7" w:rsidP="005115E8">
      <w:pPr>
        <w:pStyle w:val="TOC1"/>
        <w:rPr>
          <w:rFonts w:eastAsiaTheme="minorEastAsia" w:cstheme="minorBidi"/>
          <w:color w:val="auto"/>
          <w:sz w:val="22"/>
          <w:szCs w:val="22"/>
        </w:rPr>
      </w:pPr>
      <w:r>
        <w:fldChar w:fldCharType="begin"/>
      </w:r>
      <w:r w:rsidR="0096313F">
        <w:instrText xml:space="preserve"> TOC \o "1-4" \u </w:instrText>
      </w:r>
      <w:r>
        <w:fldChar w:fldCharType="separate"/>
      </w:r>
      <w:r w:rsidR="00B22DCD">
        <w:rPr>
          <w:rFonts w:eastAsia="Times New Roman"/>
        </w:rPr>
        <w:t>1. Introduction</w:t>
      </w:r>
      <w:r w:rsidR="00AB6DED">
        <w:tab/>
      </w:r>
      <w:r>
        <w:fldChar w:fldCharType="begin"/>
      </w:r>
      <w:r w:rsidR="00AB6DED">
        <w:instrText xml:space="preserve"> PAGEREF _Toc462753953 \h </w:instrText>
      </w:r>
      <w:r>
        <w:fldChar w:fldCharType="separate"/>
      </w:r>
      <w:r w:rsidR="00337416">
        <w:t>3</w:t>
      </w:r>
      <w:r>
        <w:fldChar w:fldCharType="end"/>
      </w:r>
    </w:p>
    <w:p w14:paraId="69D324CC" w14:textId="77777777" w:rsidR="00AB6DED" w:rsidRPr="00D55F01" w:rsidRDefault="00B22DCD" w:rsidP="00731AE2">
      <w:pPr>
        <w:pStyle w:val="TOC2"/>
        <w:rPr>
          <w:rFonts w:eastAsiaTheme="minorEastAsia" w:cstheme="minorBidi"/>
          <w:caps/>
          <w:color w:val="352168" w:themeColor="background2" w:themeShade="BF"/>
          <w:sz w:val="22"/>
          <w:szCs w:val="22"/>
        </w:rPr>
      </w:pPr>
      <w:r w:rsidRPr="00D55F01">
        <w:rPr>
          <w:color w:val="352168" w:themeColor="background2" w:themeShade="BF"/>
        </w:rPr>
        <w:t>Round One</w:t>
      </w:r>
      <w:r w:rsidR="00AB6DED" w:rsidRPr="00D55F01">
        <w:rPr>
          <w:color w:val="352168" w:themeColor="background2" w:themeShade="BF"/>
        </w:rPr>
        <w:tab/>
      </w:r>
      <w:r w:rsidR="00DD7FA7" w:rsidRPr="00D55F01">
        <w:rPr>
          <w:color w:val="352168" w:themeColor="background2" w:themeShade="BF"/>
        </w:rPr>
        <w:fldChar w:fldCharType="begin"/>
      </w:r>
      <w:r w:rsidR="00AB6DED" w:rsidRPr="00D55F01">
        <w:rPr>
          <w:color w:val="352168" w:themeColor="background2" w:themeShade="BF"/>
        </w:rPr>
        <w:instrText xml:space="preserve"> PAGEREF _Toc462753954 \h </w:instrText>
      </w:r>
      <w:r w:rsidR="00DD7FA7" w:rsidRPr="00D55F01">
        <w:rPr>
          <w:color w:val="352168" w:themeColor="background2" w:themeShade="BF"/>
        </w:rPr>
      </w:r>
      <w:r w:rsidR="00DD7FA7" w:rsidRPr="00D55F01">
        <w:rPr>
          <w:color w:val="352168" w:themeColor="background2" w:themeShade="BF"/>
        </w:rPr>
        <w:fldChar w:fldCharType="separate"/>
      </w:r>
      <w:r w:rsidR="00337416" w:rsidRPr="00D55F01">
        <w:rPr>
          <w:color w:val="352168" w:themeColor="background2" w:themeShade="BF"/>
        </w:rPr>
        <w:t>3</w:t>
      </w:r>
      <w:r w:rsidR="00DD7FA7" w:rsidRPr="00D55F01">
        <w:rPr>
          <w:color w:val="352168" w:themeColor="background2" w:themeShade="BF"/>
        </w:rPr>
        <w:fldChar w:fldCharType="end"/>
      </w:r>
    </w:p>
    <w:p w14:paraId="643792C1" w14:textId="77777777" w:rsidR="00AB6DED" w:rsidRPr="00D55F01" w:rsidRDefault="00B22DCD" w:rsidP="00731AE2">
      <w:pPr>
        <w:pStyle w:val="TOC2"/>
        <w:rPr>
          <w:rFonts w:eastAsiaTheme="minorEastAsia" w:cstheme="minorBidi"/>
          <w:caps/>
          <w:color w:val="352168" w:themeColor="background2" w:themeShade="BF"/>
          <w:sz w:val="22"/>
          <w:szCs w:val="22"/>
        </w:rPr>
      </w:pPr>
      <w:r w:rsidRPr="00D55F01">
        <w:rPr>
          <w:color w:val="352168" w:themeColor="background2" w:themeShade="BF"/>
        </w:rPr>
        <w:t xml:space="preserve">Round Two </w:t>
      </w:r>
      <w:r w:rsidR="006E2D18" w:rsidRPr="00D55F01">
        <w:rPr>
          <w:color w:val="352168" w:themeColor="background2" w:themeShade="BF"/>
        </w:rPr>
        <w:tab/>
      </w:r>
      <w:r w:rsidR="006E2D18" w:rsidRPr="00D55F01">
        <w:rPr>
          <w:color w:val="352168" w:themeColor="background2" w:themeShade="BF"/>
        </w:rPr>
        <w:fldChar w:fldCharType="begin"/>
      </w:r>
      <w:r w:rsidR="006E2D18" w:rsidRPr="00D55F01">
        <w:rPr>
          <w:color w:val="352168" w:themeColor="background2" w:themeShade="BF"/>
        </w:rPr>
        <w:instrText xml:space="preserve"> PAGEREF _Toc462753954 \h </w:instrText>
      </w:r>
      <w:r w:rsidR="006E2D18" w:rsidRPr="00D55F01">
        <w:rPr>
          <w:color w:val="352168" w:themeColor="background2" w:themeShade="BF"/>
        </w:rPr>
      </w:r>
      <w:r w:rsidR="006E2D18" w:rsidRPr="00D55F01">
        <w:rPr>
          <w:color w:val="352168" w:themeColor="background2" w:themeShade="BF"/>
        </w:rPr>
        <w:fldChar w:fldCharType="separate"/>
      </w:r>
      <w:r w:rsidR="00337416" w:rsidRPr="00D55F01">
        <w:rPr>
          <w:color w:val="352168" w:themeColor="background2" w:themeShade="BF"/>
        </w:rPr>
        <w:t>3</w:t>
      </w:r>
      <w:r w:rsidR="006E2D18" w:rsidRPr="00D55F01">
        <w:rPr>
          <w:color w:val="352168" w:themeColor="background2" w:themeShade="BF"/>
        </w:rPr>
        <w:fldChar w:fldCharType="end"/>
      </w:r>
    </w:p>
    <w:p w14:paraId="4305DE7D" w14:textId="77777777" w:rsidR="00B22DCD" w:rsidRDefault="00DD7FA7" w:rsidP="00B22DCD">
      <w:pPr>
        <w:pStyle w:val="TOC1"/>
      </w:pPr>
      <w:r>
        <w:rPr>
          <w:rFonts w:asciiTheme="majorHAnsi" w:hAnsiTheme="majorHAnsi"/>
          <w:caps w:val="0"/>
          <w:sz w:val="36"/>
        </w:rPr>
        <w:fldChar w:fldCharType="end"/>
      </w:r>
      <w:r w:rsidR="00B22DCD">
        <w:rPr>
          <w:rFonts w:eastAsia="Times New Roman"/>
        </w:rPr>
        <w:t>2. available funding</w:t>
      </w:r>
      <w:r w:rsidR="00B22DCD">
        <w:tab/>
      </w:r>
      <w:r w:rsidR="00B22DCD">
        <w:fldChar w:fldCharType="begin"/>
      </w:r>
      <w:r w:rsidR="00B22DCD">
        <w:instrText xml:space="preserve"> PAGEREF _Toc462753953 \h </w:instrText>
      </w:r>
      <w:r w:rsidR="00B22DCD">
        <w:fldChar w:fldCharType="separate"/>
      </w:r>
      <w:r w:rsidR="00337416">
        <w:t>3</w:t>
      </w:r>
      <w:r w:rsidR="00B22DCD">
        <w:fldChar w:fldCharType="end"/>
      </w:r>
    </w:p>
    <w:p w14:paraId="53353C39" w14:textId="51494C68" w:rsidR="00B22DCD" w:rsidRDefault="00B22DCD" w:rsidP="00B22DCD">
      <w:pPr>
        <w:pStyle w:val="TOC1"/>
      </w:pPr>
      <w:r>
        <w:rPr>
          <w:rFonts w:eastAsia="Times New Roman"/>
        </w:rPr>
        <w:t>3. Eligibility criteria</w:t>
      </w:r>
      <w:r>
        <w:tab/>
      </w:r>
      <w:r w:rsidR="00A87947">
        <w:t>4</w:t>
      </w:r>
    </w:p>
    <w:p w14:paraId="3C54363E" w14:textId="51D21677" w:rsidR="000166D6" w:rsidRDefault="00BA4472" w:rsidP="000166D6">
      <w:pPr>
        <w:pStyle w:val="TOC1"/>
      </w:pPr>
      <w:r>
        <w:rPr>
          <w:rFonts w:eastAsia="Times New Roman"/>
        </w:rPr>
        <w:t>4</w:t>
      </w:r>
      <w:r w:rsidR="000166D6">
        <w:rPr>
          <w:rFonts w:eastAsia="Times New Roman"/>
        </w:rPr>
        <w:t>. application process and key date</w:t>
      </w:r>
      <w:r w:rsidR="00321A8D">
        <w:rPr>
          <w:rFonts w:eastAsia="Times New Roman"/>
        </w:rPr>
        <w:t>s</w:t>
      </w:r>
      <w:r w:rsidR="000166D6">
        <w:tab/>
      </w:r>
      <w:r w:rsidR="00A87947">
        <w:t>4</w:t>
      </w:r>
    </w:p>
    <w:p w14:paraId="05B1B2B5" w14:textId="4799839B" w:rsidR="000166D6" w:rsidRDefault="00BA4472" w:rsidP="000166D6">
      <w:pPr>
        <w:pStyle w:val="TOC1"/>
      </w:pPr>
      <w:r>
        <w:rPr>
          <w:rFonts w:eastAsia="Times New Roman"/>
        </w:rPr>
        <w:t>5</w:t>
      </w:r>
      <w:r w:rsidR="000166D6">
        <w:rPr>
          <w:rFonts w:eastAsia="Times New Roman"/>
        </w:rPr>
        <w:t>. evaluation process</w:t>
      </w:r>
      <w:r w:rsidR="000166D6">
        <w:tab/>
      </w:r>
      <w:r w:rsidR="00A87947">
        <w:t>5</w:t>
      </w:r>
    </w:p>
    <w:p w14:paraId="0D21767D" w14:textId="1AC6B51A" w:rsidR="000166D6" w:rsidRDefault="00BA4472" w:rsidP="000166D6">
      <w:pPr>
        <w:pStyle w:val="TOC1"/>
      </w:pPr>
      <w:r>
        <w:rPr>
          <w:rFonts w:eastAsia="Times New Roman"/>
        </w:rPr>
        <w:t>6</w:t>
      </w:r>
      <w:r w:rsidR="000166D6">
        <w:rPr>
          <w:rFonts w:eastAsia="Times New Roman"/>
        </w:rPr>
        <w:t>. evaluation criteria</w:t>
      </w:r>
      <w:r w:rsidR="000166D6">
        <w:tab/>
      </w:r>
      <w:r w:rsidR="00A87947">
        <w:t>5</w:t>
      </w:r>
    </w:p>
    <w:p w14:paraId="57CB5DBE" w14:textId="2E0D2625" w:rsidR="000166D6" w:rsidRDefault="00BA4472" w:rsidP="000166D6">
      <w:pPr>
        <w:pStyle w:val="TOC1"/>
      </w:pPr>
      <w:r>
        <w:rPr>
          <w:rFonts w:eastAsia="Times New Roman"/>
        </w:rPr>
        <w:t>7</w:t>
      </w:r>
      <w:r w:rsidR="000166D6">
        <w:rPr>
          <w:rFonts w:eastAsia="Times New Roman"/>
        </w:rPr>
        <w:t>. Information session</w:t>
      </w:r>
      <w:r w:rsidR="000166D6">
        <w:tab/>
      </w:r>
      <w:r w:rsidR="00A87947">
        <w:t>6</w:t>
      </w:r>
    </w:p>
    <w:p w14:paraId="2FD8350A" w14:textId="624AACA8" w:rsidR="00B22DCD" w:rsidRDefault="00BA4472" w:rsidP="00B22DCD">
      <w:pPr>
        <w:pStyle w:val="TOC1"/>
      </w:pPr>
      <w:r>
        <w:rPr>
          <w:rFonts w:eastAsia="Times New Roman"/>
        </w:rPr>
        <w:t>8</w:t>
      </w:r>
      <w:r w:rsidR="00B22DCD">
        <w:rPr>
          <w:rFonts w:eastAsia="Times New Roman"/>
        </w:rPr>
        <w:t>. administrative requirement</w:t>
      </w:r>
      <w:r w:rsidR="00B22DCD">
        <w:tab/>
      </w:r>
      <w:r w:rsidR="00A87947">
        <w:t>6</w:t>
      </w:r>
    </w:p>
    <w:p w14:paraId="14779382" w14:textId="3696D670" w:rsidR="00B22DCD" w:rsidRDefault="00BA4472" w:rsidP="00B22DCD">
      <w:pPr>
        <w:pStyle w:val="TOC1"/>
      </w:pPr>
      <w:r>
        <w:rPr>
          <w:rFonts w:eastAsia="Times New Roman"/>
        </w:rPr>
        <w:t>9</w:t>
      </w:r>
      <w:r w:rsidR="00B22DCD">
        <w:rPr>
          <w:rFonts w:eastAsia="Times New Roman"/>
        </w:rPr>
        <w:t>. payments</w:t>
      </w:r>
      <w:r w:rsidR="00B22DCD">
        <w:tab/>
      </w:r>
      <w:r w:rsidR="00A05FB6">
        <w:t>7</w:t>
      </w:r>
    </w:p>
    <w:p w14:paraId="4A6291A8" w14:textId="3CFE10FC" w:rsidR="00B22DCD" w:rsidRDefault="00BA4472" w:rsidP="00B22DCD">
      <w:pPr>
        <w:pStyle w:val="TOC1"/>
      </w:pPr>
      <w:r>
        <w:rPr>
          <w:rFonts w:eastAsia="Times New Roman"/>
        </w:rPr>
        <w:t>10</w:t>
      </w:r>
      <w:r w:rsidR="00B22DCD">
        <w:rPr>
          <w:rFonts w:eastAsia="Times New Roman"/>
        </w:rPr>
        <w:t>. reporting and acquital of funds</w:t>
      </w:r>
      <w:r w:rsidR="00B22DCD">
        <w:tab/>
      </w:r>
      <w:r w:rsidR="00A05FB6">
        <w:t>7</w:t>
      </w:r>
    </w:p>
    <w:p w14:paraId="427AB30C" w14:textId="62683F8B" w:rsidR="00B22DCD" w:rsidRDefault="00B22DCD" w:rsidP="00B22DCD">
      <w:pPr>
        <w:pStyle w:val="TOC1"/>
      </w:pPr>
      <w:r>
        <w:rPr>
          <w:rFonts w:eastAsia="Times New Roman"/>
        </w:rPr>
        <w:t>11. complaints process</w:t>
      </w:r>
      <w:r>
        <w:tab/>
      </w:r>
      <w:r w:rsidR="00A05FB6">
        <w:t>8</w:t>
      </w:r>
    </w:p>
    <w:p w14:paraId="7051DD2A" w14:textId="77777777" w:rsidR="00B22DCD" w:rsidRDefault="00B22DCD" w:rsidP="00B22DCD">
      <w:pPr>
        <w:pStyle w:val="TOC1"/>
        <w:rPr>
          <w:rFonts w:eastAsiaTheme="minorEastAsia" w:cstheme="minorBidi"/>
          <w:color w:val="auto"/>
          <w:sz w:val="22"/>
          <w:szCs w:val="22"/>
        </w:rPr>
      </w:pPr>
    </w:p>
    <w:p w14:paraId="0F9E84E1" w14:textId="77777777" w:rsidR="00B22DCD" w:rsidRDefault="00B22DCD" w:rsidP="00B22DCD">
      <w:pPr>
        <w:pStyle w:val="TOC1"/>
        <w:rPr>
          <w:rFonts w:eastAsiaTheme="minorEastAsia" w:cstheme="minorBidi"/>
          <w:color w:val="auto"/>
          <w:sz w:val="22"/>
          <w:szCs w:val="22"/>
        </w:rPr>
      </w:pPr>
    </w:p>
    <w:p w14:paraId="4F5C5F83" w14:textId="77777777" w:rsidR="00B22DCD" w:rsidRDefault="00B22DCD" w:rsidP="00B22DCD">
      <w:pPr>
        <w:pStyle w:val="TOC1"/>
        <w:rPr>
          <w:rFonts w:eastAsiaTheme="minorEastAsia" w:cstheme="minorBidi"/>
          <w:color w:val="auto"/>
          <w:sz w:val="22"/>
          <w:szCs w:val="22"/>
        </w:rPr>
      </w:pPr>
    </w:p>
    <w:p w14:paraId="25C91223" w14:textId="77777777" w:rsidR="00B22DCD" w:rsidRDefault="00B22DCD" w:rsidP="00B22DCD">
      <w:pPr>
        <w:pStyle w:val="TOC1"/>
        <w:rPr>
          <w:rFonts w:eastAsiaTheme="minorEastAsia" w:cstheme="minorBidi"/>
          <w:color w:val="auto"/>
          <w:sz w:val="22"/>
          <w:szCs w:val="22"/>
        </w:rPr>
      </w:pPr>
    </w:p>
    <w:p w14:paraId="2DC9919F" w14:textId="77777777" w:rsidR="00AE3905" w:rsidRPr="00337416" w:rsidRDefault="00337416" w:rsidP="00937705">
      <w:pPr>
        <w:pStyle w:val="Title"/>
        <w:jc w:val="center"/>
        <w:rPr>
          <w:sz w:val="40"/>
          <w:szCs w:val="40"/>
        </w:rPr>
      </w:pPr>
      <w:r w:rsidRPr="00337416">
        <w:rPr>
          <w:sz w:val="40"/>
          <w:szCs w:val="40"/>
        </w:rPr>
        <w:lastRenderedPageBreak/>
        <w:t>2018 ACT WOMEN IN TRADES GRANTS PROGRAM</w:t>
      </w:r>
    </w:p>
    <w:p w14:paraId="28E4507D" w14:textId="77777777" w:rsidR="00AE3905" w:rsidRPr="00337416" w:rsidRDefault="00337416" w:rsidP="00937705">
      <w:pPr>
        <w:pStyle w:val="Subtitle"/>
        <w:jc w:val="center"/>
        <w:rPr>
          <w:b w:val="0"/>
          <w:color w:val="00AEEF" w:themeColor="text2"/>
          <w:sz w:val="36"/>
          <w:szCs w:val="36"/>
        </w:rPr>
      </w:pPr>
      <w:r w:rsidRPr="00337416">
        <w:rPr>
          <w:b w:val="0"/>
          <w:color w:val="00AEEF" w:themeColor="text2"/>
          <w:sz w:val="36"/>
          <w:szCs w:val="36"/>
        </w:rPr>
        <w:t>Application Guidelines</w:t>
      </w:r>
    </w:p>
    <w:p w14:paraId="59F08913" w14:textId="77777777" w:rsidR="00AE3905" w:rsidRPr="00337416" w:rsidRDefault="00337416" w:rsidP="00074A48">
      <w:pPr>
        <w:pStyle w:val="Heading3"/>
        <w:numPr>
          <w:ilvl w:val="0"/>
          <w:numId w:val="7"/>
        </w:numPr>
        <w:spacing w:before="100" w:beforeAutospacing="1" w:after="100" w:afterAutospacing="1"/>
        <w:contextualSpacing/>
        <w:rPr>
          <w:rFonts w:eastAsia="Times New Roman"/>
          <w:color w:val="482D8C" w:themeColor="background2"/>
        </w:rPr>
      </w:pPr>
      <w:bookmarkStart w:id="1" w:name="_Toc460922834"/>
      <w:bookmarkStart w:id="2" w:name="_Toc462753955"/>
      <w:r w:rsidRPr="00337416">
        <w:rPr>
          <w:rFonts w:eastAsia="Times New Roman"/>
          <w:color w:val="482D8C" w:themeColor="background2"/>
        </w:rPr>
        <w:t xml:space="preserve">Introduction </w:t>
      </w:r>
      <w:bookmarkEnd w:id="1"/>
      <w:bookmarkEnd w:id="2"/>
    </w:p>
    <w:p w14:paraId="7BC78A8C" w14:textId="5DB3A51C" w:rsidR="00F47ECA" w:rsidRDefault="00337416" w:rsidP="00337416">
      <w:pPr>
        <w:spacing w:before="100" w:beforeAutospacing="1" w:after="100" w:afterAutospacing="1"/>
        <w:contextualSpacing/>
      </w:pPr>
      <w:r w:rsidRPr="00337416">
        <w:t xml:space="preserve">The ACT Government is committed to supporting the growth and development of Canberra’s vocational sector through specific outreach efforts with a focus on </w:t>
      </w:r>
      <w:r w:rsidR="00782C8C">
        <w:t xml:space="preserve">women </w:t>
      </w:r>
      <w:r w:rsidRPr="00337416">
        <w:t xml:space="preserve">and mature workers. In an aim to improve participation and productivity in the broader ACT economy, </w:t>
      </w:r>
      <w:r w:rsidR="00782C8C">
        <w:t xml:space="preserve">the Women in Trades Grants Program </w:t>
      </w:r>
      <w:r w:rsidRPr="00337416">
        <w:t>is funding activities that support women into trades. The details of the program and the process to apply are outlined below.</w:t>
      </w:r>
    </w:p>
    <w:p w14:paraId="311B053C" w14:textId="77777777" w:rsidR="00337416" w:rsidRDefault="00337416" w:rsidP="00337416">
      <w:pPr>
        <w:pStyle w:val="Intro"/>
      </w:pPr>
      <w:r w:rsidRPr="00337416">
        <w:t xml:space="preserve">Round One </w:t>
      </w:r>
    </w:p>
    <w:p w14:paraId="74A4A9AF" w14:textId="3CD3CB2F" w:rsidR="00337416" w:rsidRPr="00337416" w:rsidRDefault="00337416" w:rsidP="00337416">
      <w:pPr>
        <w:rPr>
          <w:rStyle w:val="Emphasis"/>
          <w:i w:val="0"/>
        </w:rPr>
      </w:pPr>
      <w:r w:rsidRPr="00337416">
        <w:rPr>
          <w:rStyle w:val="Emphasis"/>
          <w:i w:val="0"/>
        </w:rPr>
        <w:t xml:space="preserve">On 29 March 2018, </w:t>
      </w:r>
      <w:r w:rsidR="002513C0">
        <w:rPr>
          <w:rStyle w:val="Emphasis"/>
          <w:i w:val="0"/>
        </w:rPr>
        <w:t xml:space="preserve">the </w:t>
      </w:r>
      <w:r w:rsidRPr="00337416">
        <w:rPr>
          <w:rStyle w:val="Emphasis"/>
          <w:i w:val="0"/>
        </w:rPr>
        <w:t>2018 ACT Women in Trades Grants Program (the Program) was announced</w:t>
      </w:r>
      <w:r w:rsidR="002513C0">
        <w:rPr>
          <w:rStyle w:val="Emphasis"/>
          <w:i w:val="0"/>
        </w:rPr>
        <w:t>. The program is d</w:t>
      </w:r>
      <w:r w:rsidRPr="00337416">
        <w:rPr>
          <w:rStyle w:val="Emphasis"/>
          <w:i w:val="0"/>
        </w:rPr>
        <w:t xml:space="preserve">esigned to improve women’s participation in male dominated trades in the ACT. Up to $500,000 was made available to support a small number of highly-targeted projects, over three years. </w:t>
      </w:r>
      <w:r w:rsidR="002513C0">
        <w:rPr>
          <w:rStyle w:val="Emphasis"/>
          <w:i w:val="0"/>
        </w:rPr>
        <w:t>Collaborative a</w:t>
      </w:r>
      <w:r w:rsidRPr="00337416">
        <w:rPr>
          <w:rStyle w:val="Emphasis"/>
          <w:i w:val="0"/>
        </w:rPr>
        <w:t xml:space="preserve">pplications </w:t>
      </w:r>
      <w:r w:rsidR="002513C0">
        <w:rPr>
          <w:rStyle w:val="Emphasis"/>
          <w:i w:val="0"/>
        </w:rPr>
        <w:t xml:space="preserve">that adopted a </w:t>
      </w:r>
      <w:r w:rsidRPr="00337416">
        <w:rPr>
          <w:rStyle w:val="Emphasis"/>
          <w:i w:val="0"/>
        </w:rPr>
        <w:t xml:space="preserve">holistic approach </w:t>
      </w:r>
      <w:r w:rsidR="002513C0">
        <w:rPr>
          <w:rStyle w:val="Emphasis"/>
          <w:i w:val="0"/>
        </w:rPr>
        <w:t xml:space="preserve">to </w:t>
      </w:r>
      <w:r w:rsidRPr="00337416">
        <w:rPr>
          <w:rStyle w:val="Emphasis"/>
          <w:i w:val="0"/>
        </w:rPr>
        <w:t xml:space="preserve">addressing the issues identified by stakeholders and research were sought from eligible organisations, via a competitive process.  </w:t>
      </w:r>
    </w:p>
    <w:p w14:paraId="6C0E8513" w14:textId="3388DC71" w:rsidR="00534BB1" w:rsidRPr="00337416" w:rsidRDefault="00337416" w:rsidP="00534BB1">
      <w:pPr>
        <w:rPr>
          <w:rStyle w:val="Emphasis"/>
          <w:i w:val="0"/>
        </w:rPr>
      </w:pPr>
      <w:r w:rsidRPr="00337416">
        <w:rPr>
          <w:rStyle w:val="Emphasis"/>
          <w:i w:val="0"/>
        </w:rPr>
        <w:t xml:space="preserve">Three applications were successful in receiving funds through a competitive grants process and commenced project implementation on 1 July 2018.  A total of $204,285 </w:t>
      </w:r>
      <w:r w:rsidR="002373B7">
        <w:rPr>
          <w:rStyle w:val="Emphasis"/>
          <w:i w:val="0"/>
        </w:rPr>
        <w:t xml:space="preserve">is being </w:t>
      </w:r>
      <w:r w:rsidRPr="00337416">
        <w:rPr>
          <w:rStyle w:val="Emphasis"/>
          <w:i w:val="0"/>
        </w:rPr>
        <w:t>expended in round one of the Program. All of the selected projects contribute to clear and direct new employment outcome</w:t>
      </w:r>
      <w:r w:rsidR="002513C0">
        <w:rPr>
          <w:rStyle w:val="Emphasis"/>
          <w:i w:val="0"/>
        </w:rPr>
        <w:t>s</w:t>
      </w:r>
      <w:r w:rsidRPr="00337416">
        <w:rPr>
          <w:rStyle w:val="Emphasis"/>
          <w:i w:val="0"/>
        </w:rPr>
        <w:t xml:space="preserve"> for women </w:t>
      </w:r>
      <w:r w:rsidR="002513C0">
        <w:rPr>
          <w:rStyle w:val="Emphasis"/>
          <w:i w:val="0"/>
        </w:rPr>
        <w:t xml:space="preserve">in trades. </w:t>
      </w:r>
    </w:p>
    <w:p w14:paraId="04141654" w14:textId="77777777" w:rsidR="00534BB1" w:rsidRDefault="00534BB1" w:rsidP="00534BB1">
      <w:pPr>
        <w:pStyle w:val="Intro"/>
      </w:pPr>
      <w:r w:rsidRPr="00337416">
        <w:t xml:space="preserve">Round </w:t>
      </w:r>
      <w:r>
        <w:t>Two</w:t>
      </w:r>
      <w:r w:rsidRPr="00337416">
        <w:t xml:space="preserve"> </w:t>
      </w:r>
    </w:p>
    <w:p w14:paraId="11A941B3" w14:textId="2272098C" w:rsidR="00534BB1" w:rsidRPr="00534BB1" w:rsidRDefault="00534BB1" w:rsidP="00534BB1">
      <w:pPr>
        <w:rPr>
          <w:rStyle w:val="Emphasis"/>
          <w:i w:val="0"/>
        </w:rPr>
      </w:pPr>
      <w:r w:rsidRPr="00534BB1">
        <w:rPr>
          <w:rStyle w:val="Emphasis"/>
          <w:i w:val="0"/>
        </w:rPr>
        <w:t xml:space="preserve">The program will continue to support projects under the overarching objective to improve women’s participation in male dominated trades in the ACT. </w:t>
      </w:r>
      <w:r w:rsidR="007468C7">
        <w:rPr>
          <w:rStyle w:val="Emphasis"/>
          <w:i w:val="0"/>
        </w:rPr>
        <w:t xml:space="preserve">Round two of the Program will also </w:t>
      </w:r>
      <w:r w:rsidR="00B509AB">
        <w:rPr>
          <w:rStyle w:val="Emphasis"/>
          <w:i w:val="0"/>
        </w:rPr>
        <w:t xml:space="preserve">leverage funding available </w:t>
      </w:r>
      <w:r w:rsidR="007468C7">
        <w:rPr>
          <w:rStyle w:val="Emphasis"/>
          <w:i w:val="0"/>
        </w:rPr>
        <w:t>from the Australian Government</w:t>
      </w:r>
      <w:r w:rsidR="00B509AB">
        <w:rPr>
          <w:rStyle w:val="Emphasis"/>
          <w:i w:val="0"/>
        </w:rPr>
        <w:t xml:space="preserve"> under the</w:t>
      </w:r>
      <w:r w:rsidR="007468C7">
        <w:rPr>
          <w:rStyle w:val="Emphasis"/>
          <w:i w:val="0"/>
        </w:rPr>
        <w:t xml:space="preserve"> </w:t>
      </w:r>
      <w:r w:rsidR="002373B7">
        <w:rPr>
          <w:rStyle w:val="Emphasis"/>
          <w:i w:val="0"/>
        </w:rPr>
        <w:t xml:space="preserve">National Partnership on the </w:t>
      </w:r>
      <w:r w:rsidR="007468C7">
        <w:rPr>
          <w:rStyle w:val="Emphasis"/>
          <w:i w:val="0"/>
        </w:rPr>
        <w:t>Skilling Australian</w:t>
      </w:r>
      <w:r w:rsidR="002373B7">
        <w:rPr>
          <w:rStyle w:val="Emphasis"/>
          <w:i w:val="0"/>
        </w:rPr>
        <w:t>s</w:t>
      </w:r>
      <w:r w:rsidR="007468C7">
        <w:rPr>
          <w:rStyle w:val="Emphasis"/>
          <w:i w:val="0"/>
        </w:rPr>
        <w:t xml:space="preserve"> Fun</w:t>
      </w:r>
      <w:r w:rsidR="00CB23B9">
        <w:rPr>
          <w:rStyle w:val="Emphasis"/>
          <w:i w:val="0"/>
        </w:rPr>
        <w:t>d</w:t>
      </w:r>
      <w:r w:rsidR="007468C7">
        <w:rPr>
          <w:rStyle w:val="Emphasis"/>
          <w:i w:val="0"/>
        </w:rPr>
        <w:t xml:space="preserve"> (SAF</w:t>
      </w:r>
      <w:r w:rsidR="00B509AB">
        <w:rPr>
          <w:rStyle w:val="Emphasis"/>
          <w:i w:val="0"/>
        </w:rPr>
        <w:t xml:space="preserve"> </w:t>
      </w:r>
      <w:r w:rsidR="00AE10CF">
        <w:rPr>
          <w:rStyle w:val="Emphasis"/>
          <w:i w:val="0"/>
        </w:rPr>
        <w:t>NP</w:t>
      </w:r>
      <w:r w:rsidR="007468C7">
        <w:rPr>
          <w:rStyle w:val="Emphasis"/>
          <w:i w:val="0"/>
        </w:rPr>
        <w:t>)</w:t>
      </w:r>
      <w:r w:rsidR="009A3E34">
        <w:rPr>
          <w:rStyle w:val="Emphasis"/>
          <w:i w:val="0"/>
        </w:rPr>
        <w:t xml:space="preserve"> and </w:t>
      </w:r>
      <w:r w:rsidR="00B509AB">
        <w:rPr>
          <w:rStyle w:val="Emphasis"/>
          <w:i w:val="0"/>
        </w:rPr>
        <w:t>is</w:t>
      </w:r>
      <w:r w:rsidR="009A3E34">
        <w:rPr>
          <w:rStyle w:val="Emphasis"/>
          <w:i w:val="0"/>
        </w:rPr>
        <w:t xml:space="preserve"> aligned with SAF objectives</w:t>
      </w:r>
      <w:r w:rsidR="007468C7">
        <w:rPr>
          <w:rStyle w:val="Emphasis"/>
          <w:i w:val="0"/>
        </w:rPr>
        <w:t xml:space="preserve">. </w:t>
      </w:r>
      <w:r w:rsidRPr="00534BB1">
        <w:rPr>
          <w:rStyle w:val="Emphasis"/>
          <w:i w:val="0"/>
        </w:rPr>
        <w:t>The specific objectives that the projects should address in round two are:</w:t>
      </w:r>
    </w:p>
    <w:p w14:paraId="254A37D0" w14:textId="76670D50" w:rsidR="00534BB1" w:rsidRPr="009A6053" w:rsidRDefault="00534BB1" w:rsidP="00534BB1">
      <w:pPr>
        <w:rPr>
          <w:rStyle w:val="Emphasis"/>
          <w:i w:val="0"/>
        </w:rPr>
      </w:pPr>
      <w:r w:rsidRPr="009A6053">
        <w:rPr>
          <w:rStyle w:val="Emphasis"/>
          <w:i w:val="0"/>
        </w:rPr>
        <w:t>Objective 1:</w:t>
      </w:r>
      <w:r w:rsidR="002373B7">
        <w:rPr>
          <w:rStyle w:val="Emphasis"/>
          <w:i w:val="0"/>
        </w:rPr>
        <w:tab/>
      </w:r>
      <w:r w:rsidRPr="009A6053">
        <w:rPr>
          <w:rStyle w:val="Emphasis"/>
          <w:i w:val="0"/>
        </w:rPr>
        <w:t>Increase the take up of women</w:t>
      </w:r>
      <w:r w:rsidR="009A3E34" w:rsidRPr="009A6053">
        <w:rPr>
          <w:rStyle w:val="Emphasis"/>
          <w:i w:val="0"/>
        </w:rPr>
        <w:t xml:space="preserve"> in a male dominated trades; </w:t>
      </w:r>
      <w:r w:rsidR="0056271E">
        <w:rPr>
          <w:rStyle w:val="Emphasis"/>
          <w:i w:val="0"/>
        </w:rPr>
        <w:t>and</w:t>
      </w:r>
    </w:p>
    <w:p w14:paraId="2B4BDA7D" w14:textId="492F6288" w:rsidR="00534BB1" w:rsidRPr="009A6053" w:rsidRDefault="00534BB1" w:rsidP="002373B7">
      <w:pPr>
        <w:ind w:left="1134" w:hanging="1134"/>
        <w:rPr>
          <w:rStyle w:val="Emphasis"/>
          <w:i w:val="0"/>
        </w:rPr>
      </w:pPr>
      <w:r w:rsidRPr="009A6053">
        <w:rPr>
          <w:rStyle w:val="Emphasis"/>
          <w:i w:val="0"/>
        </w:rPr>
        <w:t>Objective 2:</w:t>
      </w:r>
      <w:r w:rsidR="002373B7">
        <w:rPr>
          <w:rStyle w:val="Emphasis"/>
          <w:i w:val="0"/>
        </w:rPr>
        <w:tab/>
      </w:r>
      <w:r w:rsidRPr="009A6053">
        <w:rPr>
          <w:rStyle w:val="Emphasis"/>
          <w:i w:val="0"/>
        </w:rPr>
        <w:t>Improve advocacy, engagement and information sharing, supporting attraction and retention of women in male dominated trades</w:t>
      </w:r>
      <w:r w:rsidR="0056271E">
        <w:rPr>
          <w:rStyle w:val="Emphasis"/>
          <w:i w:val="0"/>
        </w:rPr>
        <w:t>.</w:t>
      </w:r>
    </w:p>
    <w:p w14:paraId="687B939A" w14:textId="1960A0EB" w:rsidR="009A6053" w:rsidRDefault="00534BB1" w:rsidP="00534BB1">
      <w:pPr>
        <w:rPr>
          <w:rStyle w:val="Emphasis"/>
          <w:i w:val="0"/>
        </w:rPr>
      </w:pPr>
      <w:r w:rsidRPr="00534BB1">
        <w:rPr>
          <w:rStyle w:val="Emphasis"/>
          <w:i w:val="0"/>
        </w:rPr>
        <w:t>Applications must address one or more</w:t>
      </w:r>
      <w:r w:rsidR="002373B7">
        <w:rPr>
          <w:rStyle w:val="Emphasis"/>
          <w:i w:val="0"/>
        </w:rPr>
        <w:t xml:space="preserve"> of the</w:t>
      </w:r>
      <w:r w:rsidRPr="00534BB1">
        <w:rPr>
          <w:rStyle w:val="Emphasis"/>
          <w:i w:val="0"/>
        </w:rPr>
        <w:t xml:space="preserve"> objectives outlined above and demonstrate how they will contribute to increasing the participation of women in traditionally male dominated trade apprenticeships</w:t>
      </w:r>
      <w:r w:rsidRPr="00A91A12">
        <w:rPr>
          <w:rStyle w:val="Emphasis"/>
          <w:i w:val="0"/>
        </w:rPr>
        <w:t xml:space="preserve">. </w:t>
      </w:r>
      <w:r w:rsidRPr="00534BB1">
        <w:rPr>
          <w:rStyle w:val="Emphasis"/>
          <w:i w:val="0"/>
        </w:rPr>
        <w:t xml:space="preserve">Projects that </w:t>
      </w:r>
      <w:r w:rsidR="002373B7">
        <w:rPr>
          <w:rStyle w:val="Emphasis"/>
          <w:i w:val="0"/>
        </w:rPr>
        <w:t>consider</w:t>
      </w:r>
      <w:r w:rsidRPr="00534BB1">
        <w:rPr>
          <w:rStyle w:val="Emphasis"/>
          <w:i w:val="0"/>
        </w:rPr>
        <w:t xml:space="preserve"> multiple factors that influence the recruitment and retention of women in male dominated trades </w:t>
      </w:r>
      <w:r w:rsidR="00184C62">
        <w:rPr>
          <w:rStyle w:val="Emphasis"/>
          <w:i w:val="0"/>
        </w:rPr>
        <w:t xml:space="preserve">and provide an evidence base </w:t>
      </w:r>
      <w:r w:rsidRPr="00534BB1">
        <w:rPr>
          <w:rStyle w:val="Emphasis"/>
          <w:i w:val="0"/>
        </w:rPr>
        <w:t xml:space="preserve">for sustainable positive </w:t>
      </w:r>
      <w:r w:rsidR="009A6053">
        <w:rPr>
          <w:rStyle w:val="Emphasis"/>
          <w:i w:val="0"/>
        </w:rPr>
        <w:t xml:space="preserve">impacts </w:t>
      </w:r>
      <w:r w:rsidRPr="00534BB1">
        <w:rPr>
          <w:rStyle w:val="Emphasis"/>
          <w:i w:val="0"/>
        </w:rPr>
        <w:t>for women</w:t>
      </w:r>
      <w:r w:rsidR="002373B7">
        <w:rPr>
          <w:rStyle w:val="Emphasis"/>
          <w:i w:val="0"/>
        </w:rPr>
        <w:t>,</w:t>
      </w:r>
      <w:r w:rsidRPr="00534BB1">
        <w:rPr>
          <w:rStyle w:val="Emphasis"/>
          <w:i w:val="0"/>
        </w:rPr>
        <w:t xml:space="preserve"> will be prioritised. </w:t>
      </w:r>
    </w:p>
    <w:p w14:paraId="1809C288" w14:textId="6EFD264F" w:rsidR="00534BB1" w:rsidRPr="009A6053" w:rsidRDefault="009A6053" w:rsidP="00534BB1">
      <w:pPr>
        <w:rPr>
          <w:rStyle w:val="IntenseEmphasis"/>
          <w:color w:val="auto"/>
        </w:rPr>
      </w:pPr>
      <w:r w:rsidRPr="009A6053">
        <w:rPr>
          <w:iCs/>
        </w:rPr>
        <w:t>Similar to round one, this round will favour collaborative approaches and partnerships which take a holistic approach to addressing barriers and enablers for women in trades. Any collaboration formed among the applicants</w:t>
      </w:r>
      <w:r w:rsidR="002373B7">
        <w:rPr>
          <w:iCs/>
        </w:rPr>
        <w:t>,</w:t>
      </w:r>
      <w:r w:rsidRPr="009A6053">
        <w:rPr>
          <w:iCs/>
        </w:rPr>
        <w:t xml:space="preserve"> not only helps consolidate</w:t>
      </w:r>
      <w:r w:rsidR="002373B7">
        <w:rPr>
          <w:iCs/>
        </w:rPr>
        <w:t xml:space="preserve"> the</w:t>
      </w:r>
      <w:r w:rsidRPr="009A6053">
        <w:rPr>
          <w:iCs/>
        </w:rPr>
        <w:t xml:space="preserve"> knowledge and experience of the partners</w:t>
      </w:r>
      <w:r w:rsidR="002373B7">
        <w:rPr>
          <w:iCs/>
        </w:rPr>
        <w:t>,</w:t>
      </w:r>
      <w:r w:rsidRPr="009A6053">
        <w:rPr>
          <w:iCs/>
        </w:rPr>
        <w:t xml:space="preserve"> but also benefit</w:t>
      </w:r>
      <w:r w:rsidR="002373B7">
        <w:rPr>
          <w:iCs/>
        </w:rPr>
        <w:t>s</w:t>
      </w:r>
      <w:r w:rsidRPr="009A6053">
        <w:rPr>
          <w:iCs/>
        </w:rPr>
        <w:t xml:space="preserve"> women working in trade industries.</w:t>
      </w:r>
    </w:p>
    <w:p w14:paraId="4210A6C0" w14:textId="77777777" w:rsidR="003F631B" w:rsidRDefault="003F631B">
      <w:pPr>
        <w:spacing w:line="276" w:lineRule="auto"/>
        <w:rPr>
          <w:rFonts w:eastAsia="Times New Roman"/>
          <w:b/>
          <w:color w:val="482D8C" w:themeColor="background2"/>
          <w:sz w:val="32"/>
          <w:szCs w:val="28"/>
        </w:rPr>
      </w:pPr>
      <w:r>
        <w:rPr>
          <w:rFonts w:eastAsia="Times New Roman"/>
          <w:color w:val="482D8C" w:themeColor="background2"/>
        </w:rPr>
        <w:br w:type="page"/>
      </w:r>
    </w:p>
    <w:p w14:paraId="49789C12" w14:textId="6267C580" w:rsidR="00321A8D" w:rsidRDefault="00321A8D" w:rsidP="00074A48">
      <w:pPr>
        <w:pStyle w:val="Heading3"/>
        <w:numPr>
          <w:ilvl w:val="0"/>
          <w:numId w:val="7"/>
        </w:numPr>
        <w:spacing w:before="100" w:beforeAutospacing="1" w:after="100" w:afterAutospacing="1"/>
        <w:contextualSpacing/>
        <w:rPr>
          <w:rFonts w:eastAsia="Times New Roman"/>
          <w:color w:val="482D8C" w:themeColor="background2"/>
        </w:rPr>
      </w:pPr>
      <w:r>
        <w:rPr>
          <w:rFonts w:eastAsia="Times New Roman"/>
          <w:color w:val="482D8C" w:themeColor="background2"/>
        </w:rPr>
        <w:lastRenderedPageBreak/>
        <w:t>Available Funding</w:t>
      </w:r>
    </w:p>
    <w:p w14:paraId="33082F03" w14:textId="6BE984D7" w:rsidR="00230AD2" w:rsidRPr="00BB49DB" w:rsidRDefault="00230AD2" w:rsidP="00230AD2">
      <w:r w:rsidRPr="00BB49DB">
        <w:t>A</w:t>
      </w:r>
      <w:r w:rsidR="007468C7" w:rsidRPr="00BB49DB">
        <w:t>pproximately $6</w:t>
      </w:r>
      <w:r w:rsidRPr="00BB49DB">
        <w:t xml:space="preserve">00,000 will be made available in grants over two years under </w:t>
      </w:r>
      <w:r w:rsidR="00904477" w:rsidRPr="00BB49DB">
        <w:t xml:space="preserve">Round Two of the Women in Trades </w:t>
      </w:r>
      <w:r w:rsidRPr="00BB49DB">
        <w:t>Grants Program to support a small number of highly targeted projects.</w:t>
      </w:r>
      <w:r w:rsidR="007468C7" w:rsidRPr="00BB49DB">
        <w:t xml:space="preserve"> </w:t>
      </w:r>
      <w:r w:rsidR="00184C62" w:rsidRPr="00134F6D">
        <w:t>The maximum amount of funding that can be sought is limited to $150,000 per applicat</w:t>
      </w:r>
      <w:r w:rsidR="00184C62">
        <w:t>ion</w:t>
      </w:r>
      <w:r w:rsidR="00184C62" w:rsidRPr="00134F6D">
        <w:t>. There is no minimum amount of funds that can be sought by applicants.</w:t>
      </w:r>
    </w:p>
    <w:p w14:paraId="7B6102C2" w14:textId="05B73704" w:rsidR="007468C7" w:rsidRPr="00BB49DB" w:rsidRDefault="00BB49DB" w:rsidP="00230AD2">
      <w:r w:rsidRPr="00BB49DB">
        <w:t>Funding is</w:t>
      </w:r>
      <w:r w:rsidR="007468C7" w:rsidRPr="00BB49DB">
        <w:t xml:space="preserve"> provided for activities that align with the </w:t>
      </w:r>
      <w:r w:rsidR="002373B7">
        <w:t xml:space="preserve">SAF </w:t>
      </w:r>
      <w:r w:rsidR="007468C7" w:rsidRPr="00BB49DB">
        <w:t xml:space="preserve">objective </w:t>
      </w:r>
      <w:r w:rsidR="00A91A12" w:rsidRPr="00BB49DB">
        <w:t xml:space="preserve">to </w:t>
      </w:r>
      <w:r w:rsidR="00A91A12" w:rsidRPr="00BB49DB">
        <w:rPr>
          <w:iCs/>
        </w:rPr>
        <w:t>improve employment outcomes by supporting Australians to obtain the skills and training they need for jobs in demand through increasing the uptake of apprenticeships and traineeships, pre-apprenticeships, pre-traineeships, higher-apprenticeships, and other relevant employment related training.</w:t>
      </w:r>
      <w:r w:rsidR="007E19AD" w:rsidRPr="00BB49DB">
        <w:t xml:space="preserve"> </w:t>
      </w:r>
    </w:p>
    <w:p w14:paraId="15E5B9B4" w14:textId="04160AAB" w:rsidR="00230AD2" w:rsidRDefault="00230AD2" w:rsidP="00230AD2">
      <w:r w:rsidRPr="00134F6D">
        <w:t xml:space="preserve"> </w:t>
      </w:r>
      <w:r>
        <w:t>The ACT Government will determine the number of projects to be funded based on the quality of responses received.</w:t>
      </w:r>
    </w:p>
    <w:p w14:paraId="2911F427" w14:textId="28DA3BCF" w:rsidR="00230AD2" w:rsidRDefault="00230AD2" w:rsidP="00230AD2">
      <w:r>
        <w:t>Applicants</w:t>
      </w:r>
      <w:r w:rsidR="00883B0E">
        <w:t xml:space="preserve"> are encouraged to match funds up to 50% of the grant sought. </w:t>
      </w:r>
      <w:r>
        <w:t>The matched-funding element is not mandatory</w:t>
      </w:r>
      <w:r w:rsidR="00883B0E">
        <w:t xml:space="preserve">. However, </w:t>
      </w:r>
      <w:r>
        <w:t xml:space="preserve">it will be considered during the evaluation of the applications. The matched-funding component, if proposed, can comprise of purchased goods and services (cash expenditure), in-kind contributions (i.e. the value of the applicant’s work time) or a combination of both. Matched-funding contributions must occur during the funded project and not prior. </w:t>
      </w:r>
    </w:p>
    <w:p w14:paraId="374A98E1" w14:textId="654B06E9" w:rsidR="00184C62" w:rsidRDefault="00184C62" w:rsidP="00230AD2">
      <w:r>
        <w:t xml:space="preserve">All applications will </w:t>
      </w:r>
      <w:r w:rsidR="008342FA">
        <w:t>need to demonstrate that they represent value for money, regardless of whether or not there is a matched-funding element.</w:t>
      </w:r>
    </w:p>
    <w:p w14:paraId="30D033C4" w14:textId="4C40A111" w:rsidR="00581A6C" w:rsidRPr="00581A6C" w:rsidRDefault="00581A6C" w:rsidP="00581A6C">
      <w:pPr>
        <w:rPr>
          <w:b/>
          <w:i/>
        </w:rPr>
      </w:pPr>
      <w:r w:rsidRPr="00581A6C">
        <w:rPr>
          <w:b/>
          <w:i/>
        </w:rPr>
        <w:t xml:space="preserve">What will not be </w:t>
      </w:r>
      <w:r w:rsidR="002373B7" w:rsidRPr="00581A6C">
        <w:rPr>
          <w:b/>
          <w:i/>
        </w:rPr>
        <w:t>funded?</w:t>
      </w:r>
      <w:r w:rsidRPr="00581A6C">
        <w:rPr>
          <w:b/>
          <w:i/>
        </w:rPr>
        <w:t xml:space="preserve"> </w:t>
      </w:r>
    </w:p>
    <w:p w14:paraId="3E5EB780" w14:textId="31A0399C" w:rsidR="00581A6C" w:rsidRDefault="00581A6C" w:rsidP="00074A48">
      <w:pPr>
        <w:pStyle w:val="ListParagraph"/>
        <w:numPr>
          <w:ilvl w:val="0"/>
          <w:numId w:val="8"/>
        </w:numPr>
      </w:pPr>
      <w:r>
        <w:t xml:space="preserve"> Applicant</w:t>
      </w:r>
      <w:r w:rsidRPr="00581A6C">
        <w:rPr>
          <w:rFonts w:ascii="Calibri" w:hAnsi="Calibri" w:cs="Calibri"/>
        </w:rPr>
        <w:t>’</w:t>
      </w:r>
      <w:r>
        <w:t>s existing services unless the applicant can demonstrate additionality outcomes</w:t>
      </w:r>
      <w:r w:rsidR="002373B7">
        <w:t>;</w:t>
      </w:r>
      <w:r>
        <w:t xml:space="preserve"> </w:t>
      </w:r>
    </w:p>
    <w:p w14:paraId="52B28669" w14:textId="6ACED655" w:rsidR="00581A6C" w:rsidRDefault="002373B7" w:rsidP="00074A48">
      <w:pPr>
        <w:pStyle w:val="ListParagraph"/>
        <w:numPr>
          <w:ilvl w:val="0"/>
          <w:numId w:val="8"/>
        </w:numPr>
      </w:pPr>
      <w:r>
        <w:t xml:space="preserve"> Duplicate</w:t>
      </w:r>
      <w:r w:rsidR="00581A6C">
        <w:t xml:space="preserve"> services that are already being delivered in the ACT</w:t>
      </w:r>
      <w:r>
        <w:t>;</w:t>
      </w:r>
      <w:r w:rsidR="00581A6C">
        <w:t xml:space="preserve"> </w:t>
      </w:r>
    </w:p>
    <w:p w14:paraId="25DB4CFA" w14:textId="1C0171B8" w:rsidR="00581A6C" w:rsidRDefault="00581A6C" w:rsidP="00074A48">
      <w:pPr>
        <w:pStyle w:val="ListParagraph"/>
        <w:numPr>
          <w:ilvl w:val="0"/>
          <w:numId w:val="8"/>
        </w:numPr>
      </w:pPr>
      <w:r>
        <w:t xml:space="preserve"> Project set-up costs (office space, supplies, software, and outsourcing of services)</w:t>
      </w:r>
      <w:r w:rsidR="002373B7">
        <w:t>;</w:t>
      </w:r>
      <w:r>
        <w:t xml:space="preserve"> </w:t>
      </w:r>
    </w:p>
    <w:p w14:paraId="6924DCB3" w14:textId="7E74569D" w:rsidR="00581A6C" w:rsidRDefault="00581A6C" w:rsidP="00074A48">
      <w:pPr>
        <w:pStyle w:val="ListParagraph"/>
        <w:numPr>
          <w:ilvl w:val="0"/>
          <w:numId w:val="8"/>
        </w:numPr>
      </w:pPr>
      <w:r>
        <w:t xml:space="preserve"> Staff travel and accommodation expenses</w:t>
      </w:r>
      <w:r w:rsidR="002373B7">
        <w:t>; and</w:t>
      </w:r>
      <w:r>
        <w:t xml:space="preserve"> </w:t>
      </w:r>
    </w:p>
    <w:p w14:paraId="46339C9D" w14:textId="502BBCC5" w:rsidR="00581A6C" w:rsidRPr="00321A8D" w:rsidRDefault="00581A6C" w:rsidP="00074A48">
      <w:pPr>
        <w:pStyle w:val="ListParagraph"/>
        <w:numPr>
          <w:ilvl w:val="0"/>
          <w:numId w:val="8"/>
        </w:numPr>
      </w:pPr>
      <w:r>
        <w:t xml:space="preserve"> Expenses incurred prior to signing the Deed of Grant</w:t>
      </w:r>
      <w:r w:rsidR="002373B7">
        <w:t>.</w:t>
      </w:r>
    </w:p>
    <w:p w14:paraId="450C07DB" w14:textId="77777777" w:rsidR="00321A8D" w:rsidRDefault="00321A8D" w:rsidP="00074A48">
      <w:pPr>
        <w:pStyle w:val="Heading3"/>
        <w:numPr>
          <w:ilvl w:val="0"/>
          <w:numId w:val="7"/>
        </w:numPr>
        <w:spacing w:before="100" w:beforeAutospacing="1" w:after="100" w:afterAutospacing="1"/>
        <w:contextualSpacing/>
        <w:rPr>
          <w:rFonts w:eastAsia="Times New Roman"/>
          <w:color w:val="482D8C" w:themeColor="background2"/>
        </w:rPr>
      </w:pPr>
      <w:r w:rsidRPr="00337416">
        <w:rPr>
          <w:rFonts w:eastAsia="Times New Roman"/>
          <w:color w:val="482D8C" w:themeColor="background2"/>
        </w:rPr>
        <w:t xml:space="preserve"> </w:t>
      </w:r>
      <w:r>
        <w:rPr>
          <w:rFonts w:eastAsia="Times New Roman"/>
          <w:color w:val="482D8C" w:themeColor="background2"/>
        </w:rPr>
        <w:t>Eligibility Criteria</w:t>
      </w:r>
    </w:p>
    <w:p w14:paraId="799627B5" w14:textId="77777777" w:rsidR="00230AD2" w:rsidRDefault="00230AD2" w:rsidP="00230AD2">
      <w:r>
        <w:t>In order to be eligible for funding applicants must:</w:t>
      </w:r>
    </w:p>
    <w:p w14:paraId="107E5214" w14:textId="77777777" w:rsidR="00230AD2" w:rsidRDefault="00230AD2" w:rsidP="00074A48">
      <w:pPr>
        <w:pStyle w:val="ListParagraph"/>
        <w:numPr>
          <w:ilvl w:val="0"/>
          <w:numId w:val="9"/>
        </w:numPr>
      </w:pPr>
      <w:r>
        <w:t>be a public or private Australian based organisation or consortium with at least one member organisation based in the ACT;</w:t>
      </w:r>
    </w:p>
    <w:p w14:paraId="591F7E8A" w14:textId="77777777" w:rsidR="00230AD2" w:rsidRDefault="00230AD2" w:rsidP="00074A48">
      <w:pPr>
        <w:pStyle w:val="ListParagraph"/>
        <w:numPr>
          <w:ilvl w:val="0"/>
          <w:numId w:val="9"/>
        </w:numPr>
      </w:pPr>
      <w:r>
        <w:t xml:space="preserve">have an Australian Company Number (ACN) or an Australian Business Number (ABN); </w:t>
      </w:r>
    </w:p>
    <w:p w14:paraId="28465398" w14:textId="03654160" w:rsidR="00230AD2" w:rsidRDefault="00230AD2" w:rsidP="00074A48">
      <w:pPr>
        <w:pStyle w:val="ListParagraph"/>
        <w:numPr>
          <w:ilvl w:val="0"/>
          <w:numId w:val="9"/>
        </w:numPr>
      </w:pPr>
      <w:r>
        <w:t>provide financial reports or annual reports</w:t>
      </w:r>
      <w:r w:rsidR="00A65F3E">
        <w:t>;</w:t>
      </w:r>
    </w:p>
    <w:p w14:paraId="07E78ED0" w14:textId="77777777" w:rsidR="00A65F3E" w:rsidRDefault="00230AD2" w:rsidP="00074A48">
      <w:pPr>
        <w:pStyle w:val="ListParagraph"/>
        <w:numPr>
          <w:ilvl w:val="0"/>
          <w:numId w:val="9"/>
        </w:numPr>
      </w:pPr>
      <w:r>
        <w:t>provide certificate of currency for public liability and workers compensation insurance;</w:t>
      </w:r>
    </w:p>
    <w:p w14:paraId="2D01B16E" w14:textId="1275096D" w:rsidR="00230AD2" w:rsidRDefault="00230AD2" w:rsidP="00074A48">
      <w:pPr>
        <w:pStyle w:val="ListParagraph"/>
        <w:numPr>
          <w:ilvl w:val="0"/>
          <w:numId w:val="9"/>
        </w:numPr>
      </w:pPr>
      <w:r>
        <w:t>be able to contract with the ACT Government; and</w:t>
      </w:r>
    </w:p>
    <w:p w14:paraId="3500A02E" w14:textId="2EF74F0D" w:rsidR="00321A8D" w:rsidRPr="00321A8D" w:rsidRDefault="00230AD2" w:rsidP="00074A48">
      <w:pPr>
        <w:pStyle w:val="ListParagraph"/>
        <w:numPr>
          <w:ilvl w:val="0"/>
          <w:numId w:val="9"/>
        </w:numPr>
      </w:pPr>
      <w:r>
        <w:t>disclose all funding received from sources other than Skills Canberra for this project</w:t>
      </w:r>
      <w:r w:rsidR="00A65F3E">
        <w:t>.</w:t>
      </w:r>
    </w:p>
    <w:p w14:paraId="740DC8AB" w14:textId="77777777" w:rsidR="00321A8D" w:rsidRDefault="00321A8D" w:rsidP="00074A48">
      <w:pPr>
        <w:pStyle w:val="Heading3"/>
        <w:numPr>
          <w:ilvl w:val="0"/>
          <w:numId w:val="7"/>
        </w:numPr>
        <w:spacing w:before="100" w:beforeAutospacing="1" w:after="100" w:afterAutospacing="1"/>
        <w:contextualSpacing/>
        <w:rPr>
          <w:rFonts w:eastAsia="Times New Roman"/>
          <w:color w:val="482D8C" w:themeColor="background2"/>
        </w:rPr>
      </w:pPr>
      <w:r>
        <w:rPr>
          <w:rFonts w:eastAsia="Times New Roman"/>
          <w:color w:val="482D8C" w:themeColor="background2"/>
        </w:rPr>
        <w:t>Application Process and Key Dates</w:t>
      </w:r>
    </w:p>
    <w:p w14:paraId="48257035" w14:textId="0D655720" w:rsidR="002373B7" w:rsidRDefault="001903FC" w:rsidP="006F5359">
      <w:r w:rsidRPr="001903FC">
        <w:t>Applications can be submitted online on SmartyGrants via</w:t>
      </w:r>
      <w:r w:rsidR="00433EAC">
        <w:t xml:space="preserve"> </w:t>
      </w:r>
      <w:hyperlink r:id="rId13" w:history="1">
        <w:r w:rsidR="00433EAC" w:rsidRPr="00CA3D7D">
          <w:rPr>
            <w:rStyle w:val="Hyperlink"/>
          </w:rPr>
          <w:t>https://innovation-connect.smartygrants.com.au/WiT-RoundTwo</w:t>
        </w:r>
      </w:hyperlink>
      <w:r w:rsidR="00433EAC">
        <w:t>.</w:t>
      </w:r>
      <w:r>
        <w:t xml:space="preserve"> </w:t>
      </w:r>
      <w:r w:rsidRPr="001903FC">
        <w:t>The details in the application must be complete and correct at the time of submission and no additional documents or attachments will be considered by the panel at a later date</w:t>
      </w:r>
      <w:r w:rsidR="002373B7">
        <w:t>.</w:t>
      </w:r>
      <w:r>
        <w:t xml:space="preserve"> Key steps and dates for the application and</w:t>
      </w:r>
      <w:r w:rsidR="002373B7">
        <w:t xml:space="preserve"> evaluation are presented below.</w:t>
      </w:r>
    </w:p>
    <w:p w14:paraId="61AF8F8F" w14:textId="77777777" w:rsidR="002373B7" w:rsidRDefault="002373B7" w:rsidP="006F5359"/>
    <w:p w14:paraId="27235A69" w14:textId="77777777" w:rsidR="002373B7" w:rsidRDefault="002373B7" w:rsidP="006F5359"/>
    <w:p w14:paraId="5216B79A" w14:textId="5F4E80C9" w:rsidR="006F5359" w:rsidRDefault="001903FC" w:rsidP="006F5359">
      <w:pPr>
        <w:rPr>
          <w:color w:val="FF0000"/>
        </w:rPr>
      </w:pPr>
      <w:r>
        <w:t xml:space="preserve"> </w:t>
      </w:r>
    </w:p>
    <w:tbl>
      <w:tblPr>
        <w:tblStyle w:val="ColorfulList-Accent5"/>
        <w:tblW w:w="8931" w:type="dxa"/>
        <w:tblLook w:val="04A0" w:firstRow="1" w:lastRow="0" w:firstColumn="1" w:lastColumn="0" w:noHBand="0" w:noVBand="1"/>
      </w:tblPr>
      <w:tblGrid>
        <w:gridCol w:w="5670"/>
        <w:gridCol w:w="3261"/>
      </w:tblGrid>
      <w:tr w:rsidR="00C50025" w14:paraId="680B1839" w14:textId="77777777" w:rsidTr="00F64F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0" w:type="dxa"/>
          </w:tcPr>
          <w:p w14:paraId="2737B1FA" w14:textId="6F4FDA00" w:rsidR="00C50025" w:rsidRPr="00532054" w:rsidRDefault="00C50025" w:rsidP="00C50025">
            <w:pPr>
              <w:pStyle w:val="Tablehead"/>
              <w:ind w:left="720"/>
              <w:rPr>
                <w:b/>
              </w:rPr>
            </w:pPr>
            <w:r>
              <w:rPr>
                <w:b/>
              </w:rPr>
              <w:lastRenderedPageBreak/>
              <w:t xml:space="preserve">Steps </w:t>
            </w:r>
          </w:p>
        </w:tc>
        <w:tc>
          <w:tcPr>
            <w:tcW w:w="3261" w:type="dxa"/>
          </w:tcPr>
          <w:p w14:paraId="1EB3853C" w14:textId="000EB3E8" w:rsidR="00C50025" w:rsidRPr="00532054" w:rsidRDefault="00C50025" w:rsidP="002C6764">
            <w:pPr>
              <w:pStyle w:val="Tablehead"/>
              <w:cnfStyle w:val="100000000000" w:firstRow="1" w:lastRow="0" w:firstColumn="0" w:lastColumn="0" w:oddVBand="0" w:evenVBand="0" w:oddHBand="0" w:evenHBand="0" w:firstRowFirstColumn="0" w:firstRowLastColumn="0" w:lastRowFirstColumn="0" w:lastRowLastColumn="0"/>
              <w:rPr>
                <w:b/>
              </w:rPr>
            </w:pPr>
            <w:r>
              <w:rPr>
                <w:b/>
              </w:rPr>
              <w:t>Key dates</w:t>
            </w:r>
          </w:p>
        </w:tc>
      </w:tr>
      <w:tr w:rsidR="00C50025" w14:paraId="6634C260" w14:textId="77777777" w:rsidTr="00F64F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0" w:type="dxa"/>
          </w:tcPr>
          <w:p w14:paraId="0CAD4336" w14:textId="52718BAE" w:rsidR="00C50025" w:rsidRPr="00C50025" w:rsidRDefault="00C50025" w:rsidP="00074A48">
            <w:pPr>
              <w:pStyle w:val="ListParagraph"/>
              <w:numPr>
                <w:ilvl w:val="0"/>
                <w:numId w:val="17"/>
              </w:numPr>
              <w:rPr>
                <w:b w:val="0"/>
              </w:rPr>
            </w:pPr>
            <w:r w:rsidRPr="00C50025">
              <w:rPr>
                <w:b w:val="0"/>
              </w:rPr>
              <w:t>Launch and Call for Applications – Round Two</w:t>
            </w:r>
          </w:p>
        </w:tc>
        <w:tc>
          <w:tcPr>
            <w:tcW w:w="3261" w:type="dxa"/>
          </w:tcPr>
          <w:p w14:paraId="6DF835CC" w14:textId="342CC1DC" w:rsidR="00C50025" w:rsidRDefault="000D17D0" w:rsidP="000D17D0">
            <w:pPr>
              <w:cnfStyle w:val="000000100000" w:firstRow="0" w:lastRow="0" w:firstColumn="0" w:lastColumn="0" w:oddVBand="0" w:evenVBand="0" w:oddHBand="1" w:evenHBand="0" w:firstRowFirstColumn="0" w:firstRowLastColumn="0" w:lastRowFirstColumn="0" w:lastRowLastColumn="0"/>
            </w:pPr>
            <w:r>
              <w:t>Tuesday</w:t>
            </w:r>
            <w:r w:rsidR="00F64FE3" w:rsidRPr="00F64FE3">
              <w:t xml:space="preserve">, </w:t>
            </w:r>
            <w:r>
              <w:t>6</w:t>
            </w:r>
            <w:r w:rsidR="00F64FE3" w:rsidRPr="00F64FE3">
              <w:t xml:space="preserve"> November 2018</w:t>
            </w:r>
          </w:p>
        </w:tc>
      </w:tr>
      <w:tr w:rsidR="00C50025" w14:paraId="0A23783B" w14:textId="77777777" w:rsidTr="00F64FE3">
        <w:tc>
          <w:tcPr>
            <w:cnfStyle w:val="001000000000" w:firstRow="0" w:lastRow="0" w:firstColumn="1" w:lastColumn="0" w:oddVBand="0" w:evenVBand="0" w:oddHBand="0" w:evenHBand="0" w:firstRowFirstColumn="0" w:firstRowLastColumn="0" w:lastRowFirstColumn="0" w:lastRowLastColumn="0"/>
            <w:tcW w:w="5670" w:type="dxa"/>
          </w:tcPr>
          <w:p w14:paraId="1111D30A" w14:textId="3B38FCC3" w:rsidR="00C50025" w:rsidRPr="00F64FE3" w:rsidRDefault="00F64FE3" w:rsidP="00074A48">
            <w:pPr>
              <w:pStyle w:val="ListParagraph"/>
              <w:numPr>
                <w:ilvl w:val="0"/>
                <w:numId w:val="17"/>
              </w:numPr>
              <w:rPr>
                <w:b w:val="0"/>
              </w:rPr>
            </w:pPr>
            <w:r w:rsidRPr="00F64FE3">
              <w:rPr>
                <w:b w:val="0"/>
              </w:rPr>
              <w:t>Information Session</w:t>
            </w:r>
          </w:p>
        </w:tc>
        <w:tc>
          <w:tcPr>
            <w:tcW w:w="3261" w:type="dxa"/>
          </w:tcPr>
          <w:p w14:paraId="73D9EB44" w14:textId="7DC8DD6D" w:rsidR="00C50025" w:rsidRDefault="00F64FE3" w:rsidP="002C6764">
            <w:pPr>
              <w:cnfStyle w:val="000000000000" w:firstRow="0" w:lastRow="0" w:firstColumn="0" w:lastColumn="0" w:oddVBand="0" w:evenVBand="0" w:oddHBand="0" w:evenHBand="0" w:firstRowFirstColumn="0" w:firstRowLastColumn="0" w:lastRowFirstColumn="0" w:lastRowLastColumn="0"/>
            </w:pPr>
            <w:r w:rsidRPr="00011DA3">
              <w:t>Tuesday, 13 November 2018</w:t>
            </w:r>
          </w:p>
        </w:tc>
      </w:tr>
      <w:tr w:rsidR="00C50025" w14:paraId="2997B4F3" w14:textId="77777777" w:rsidTr="00F64F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0" w:type="dxa"/>
          </w:tcPr>
          <w:p w14:paraId="0DC831E6" w14:textId="68953153" w:rsidR="00C50025" w:rsidRPr="00F64FE3" w:rsidRDefault="00F64FE3" w:rsidP="00074A48">
            <w:pPr>
              <w:pStyle w:val="ListParagraph"/>
              <w:numPr>
                <w:ilvl w:val="0"/>
                <w:numId w:val="17"/>
              </w:numPr>
              <w:rPr>
                <w:b w:val="0"/>
              </w:rPr>
            </w:pPr>
            <w:r w:rsidRPr="00F64FE3">
              <w:rPr>
                <w:b w:val="0"/>
              </w:rPr>
              <w:t>Submission Closing Date</w:t>
            </w:r>
          </w:p>
        </w:tc>
        <w:tc>
          <w:tcPr>
            <w:tcW w:w="3261" w:type="dxa"/>
          </w:tcPr>
          <w:p w14:paraId="542EFC73" w14:textId="02474329" w:rsidR="00C50025" w:rsidRDefault="00F64FE3" w:rsidP="002C6764">
            <w:pPr>
              <w:cnfStyle w:val="000000100000" w:firstRow="0" w:lastRow="0" w:firstColumn="0" w:lastColumn="0" w:oddVBand="0" w:evenVBand="0" w:oddHBand="1" w:evenHBand="0" w:firstRowFirstColumn="0" w:firstRowLastColumn="0" w:lastRowFirstColumn="0" w:lastRowLastColumn="0"/>
            </w:pPr>
            <w:r w:rsidRPr="00011DA3">
              <w:t>Thursday, 20 December 2018</w:t>
            </w:r>
          </w:p>
        </w:tc>
      </w:tr>
      <w:tr w:rsidR="00C50025" w14:paraId="0C89A801" w14:textId="77777777" w:rsidTr="00F64FE3">
        <w:tc>
          <w:tcPr>
            <w:cnfStyle w:val="001000000000" w:firstRow="0" w:lastRow="0" w:firstColumn="1" w:lastColumn="0" w:oddVBand="0" w:evenVBand="0" w:oddHBand="0" w:evenHBand="0" w:firstRowFirstColumn="0" w:firstRowLastColumn="0" w:lastRowFirstColumn="0" w:lastRowLastColumn="0"/>
            <w:tcW w:w="5670" w:type="dxa"/>
          </w:tcPr>
          <w:p w14:paraId="3C059AB4" w14:textId="577039E5" w:rsidR="00C50025" w:rsidRPr="00532054" w:rsidRDefault="00F64FE3" w:rsidP="00074A48">
            <w:pPr>
              <w:pStyle w:val="ListParagraph"/>
              <w:numPr>
                <w:ilvl w:val="0"/>
                <w:numId w:val="17"/>
              </w:numPr>
              <w:rPr>
                <w:b w:val="0"/>
              </w:rPr>
            </w:pPr>
            <w:r w:rsidRPr="00F64FE3">
              <w:rPr>
                <w:b w:val="0"/>
              </w:rPr>
              <w:t>Evaluation and Final Selection</w:t>
            </w:r>
          </w:p>
        </w:tc>
        <w:tc>
          <w:tcPr>
            <w:tcW w:w="3261" w:type="dxa"/>
          </w:tcPr>
          <w:p w14:paraId="3E0CCFB8" w14:textId="67F5AED2" w:rsidR="00C50025" w:rsidRDefault="00F64FE3" w:rsidP="002C6764">
            <w:pPr>
              <w:cnfStyle w:val="000000000000" w:firstRow="0" w:lastRow="0" w:firstColumn="0" w:lastColumn="0" w:oddVBand="0" w:evenVBand="0" w:oddHBand="0" w:evenHBand="0" w:firstRowFirstColumn="0" w:firstRowLastColumn="0" w:lastRowFirstColumn="0" w:lastRowLastColumn="0"/>
            </w:pPr>
            <w:r w:rsidRPr="00011DA3">
              <w:t>2 January to 31 January 2019</w:t>
            </w:r>
          </w:p>
        </w:tc>
      </w:tr>
      <w:tr w:rsidR="00C50025" w14:paraId="58F1D886" w14:textId="77777777" w:rsidTr="00F64F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0" w:type="dxa"/>
          </w:tcPr>
          <w:p w14:paraId="17FEDFE5" w14:textId="4125EBCC" w:rsidR="00C50025" w:rsidRPr="00532054" w:rsidRDefault="00F64FE3" w:rsidP="00074A48">
            <w:pPr>
              <w:pStyle w:val="ListParagraph"/>
              <w:numPr>
                <w:ilvl w:val="0"/>
                <w:numId w:val="17"/>
              </w:numPr>
              <w:rPr>
                <w:b w:val="0"/>
              </w:rPr>
            </w:pPr>
            <w:r w:rsidRPr="00F64FE3">
              <w:rPr>
                <w:b w:val="0"/>
              </w:rPr>
              <w:t>Negotiation of Deeds</w:t>
            </w:r>
          </w:p>
        </w:tc>
        <w:tc>
          <w:tcPr>
            <w:tcW w:w="3261" w:type="dxa"/>
          </w:tcPr>
          <w:p w14:paraId="27E00A24" w14:textId="03B04265" w:rsidR="00C50025" w:rsidRDefault="00F64FE3" w:rsidP="002C6764">
            <w:pPr>
              <w:cnfStyle w:val="000000100000" w:firstRow="0" w:lastRow="0" w:firstColumn="0" w:lastColumn="0" w:oddVBand="0" w:evenVBand="0" w:oddHBand="1" w:evenHBand="0" w:firstRowFirstColumn="0" w:firstRowLastColumn="0" w:lastRowFirstColumn="0" w:lastRowLastColumn="0"/>
            </w:pPr>
            <w:r w:rsidRPr="00011DA3">
              <w:t>1 February to 15 February 2019</w:t>
            </w:r>
          </w:p>
        </w:tc>
      </w:tr>
      <w:tr w:rsidR="00C50025" w14:paraId="2736BDC5" w14:textId="77777777" w:rsidTr="00F64FE3">
        <w:tc>
          <w:tcPr>
            <w:cnfStyle w:val="001000000000" w:firstRow="0" w:lastRow="0" w:firstColumn="1" w:lastColumn="0" w:oddVBand="0" w:evenVBand="0" w:oddHBand="0" w:evenHBand="0" w:firstRowFirstColumn="0" w:firstRowLastColumn="0" w:lastRowFirstColumn="0" w:lastRowLastColumn="0"/>
            <w:tcW w:w="5670" w:type="dxa"/>
          </w:tcPr>
          <w:p w14:paraId="43CD423A" w14:textId="63BB4277" w:rsidR="00C50025" w:rsidRPr="00532054" w:rsidRDefault="00F64FE3" w:rsidP="00074A48">
            <w:pPr>
              <w:pStyle w:val="ListParagraph"/>
              <w:numPr>
                <w:ilvl w:val="0"/>
                <w:numId w:val="17"/>
              </w:numPr>
              <w:rPr>
                <w:b w:val="0"/>
              </w:rPr>
            </w:pPr>
            <w:r w:rsidRPr="00F64FE3">
              <w:rPr>
                <w:b w:val="0"/>
              </w:rPr>
              <w:t>Announcement of Successful Applications and Notification to Unsuccessful Applicants</w:t>
            </w:r>
          </w:p>
        </w:tc>
        <w:tc>
          <w:tcPr>
            <w:tcW w:w="3261" w:type="dxa"/>
          </w:tcPr>
          <w:p w14:paraId="34727D1E" w14:textId="1CEC3399" w:rsidR="00C50025" w:rsidRDefault="00F64FE3" w:rsidP="002C6764">
            <w:pPr>
              <w:cnfStyle w:val="000000000000" w:firstRow="0" w:lastRow="0" w:firstColumn="0" w:lastColumn="0" w:oddVBand="0" w:evenVBand="0" w:oddHBand="0" w:evenHBand="0" w:firstRowFirstColumn="0" w:firstRowLastColumn="0" w:lastRowFirstColumn="0" w:lastRowLastColumn="0"/>
            </w:pPr>
            <w:r w:rsidRPr="00F64FE3">
              <w:t>Thursday, 22 February 2019</w:t>
            </w:r>
          </w:p>
        </w:tc>
      </w:tr>
      <w:tr w:rsidR="00C50025" w14:paraId="3D95118C" w14:textId="77777777" w:rsidTr="00F64F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0" w:type="dxa"/>
          </w:tcPr>
          <w:p w14:paraId="7A1AE82F" w14:textId="5CA3EA6E" w:rsidR="00C50025" w:rsidRPr="00532054" w:rsidRDefault="00F64FE3" w:rsidP="00074A48">
            <w:pPr>
              <w:pStyle w:val="ListParagraph"/>
              <w:numPr>
                <w:ilvl w:val="0"/>
                <w:numId w:val="17"/>
              </w:numPr>
              <w:rPr>
                <w:b w:val="0"/>
              </w:rPr>
            </w:pPr>
            <w:r w:rsidRPr="00F64FE3">
              <w:rPr>
                <w:b w:val="0"/>
              </w:rPr>
              <w:t>Commencement</w:t>
            </w:r>
            <w:r w:rsidR="008342FA">
              <w:rPr>
                <w:b w:val="0"/>
              </w:rPr>
              <w:t xml:space="preserve"> of funded projects</w:t>
            </w:r>
          </w:p>
        </w:tc>
        <w:tc>
          <w:tcPr>
            <w:tcW w:w="3261" w:type="dxa"/>
          </w:tcPr>
          <w:p w14:paraId="754A470F" w14:textId="64D0BB51" w:rsidR="00C50025" w:rsidRDefault="00F64FE3" w:rsidP="002C6764">
            <w:pPr>
              <w:cnfStyle w:val="000000100000" w:firstRow="0" w:lastRow="0" w:firstColumn="0" w:lastColumn="0" w:oddVBand="0" w:evenVBand="0" w:oddHBand="1" w:evenHBand="0" w:firstRowFirstColumn="0" w:firstRowLastColumn="0" w:lastRowFirstColumn="0" w:lastRowLastColumn="0"/>
            </w:pPr>
            <w:r w:rsidRPr="00F64FE3">
              <w:t>Friday, 1 March 2019</w:t>
            </w:r>
          </w:p>
        </w:tc>
      </w:tr>
    </w:tbl>
    <w:p w14:paraId="35E89AA8" w14:textId="77777777" w:rsidR="00321A8D" w:rsidRDefault="00321A8D" w:rsidP="00321A8D">
      <w:pPr>
        <w:pStyle w:val="Heading3"/>
        <w:spacing w:before="100" w:beforeAutospacing="1" w:after="100" w:afterAutospacing="1"/>
        <w:contextualSpacing/>
        <w:rPr>
          <w:rFonts w:eastAsia="Times New Roman"/>
          <w:color w:val="482D8C" w:themeColor="background2"/>
        </w:rPr>
      </w:pPr>
    </w:p>
    <w:p w14:paraId="378200E3" w14:textId="77777777" w:rsidR="00321A8D" w:rsidRDefault="00321A8D" w:rsidP="00074A48">
      <w:pPr>
        <w:pStyle w:val="Heading3"/>
        <w:numPr>
          <w:ilvl w:val="0"/>
          <w:numId w:val="7"/>
        </w:numPr>
        <w:spacing w:before="100" w:beforeAutospacing="1" w:after="100" w:afterAutospacing="1"/>
        <w:contextualSpacing/>
        <w:rPr>
          <w:rFonts w:eastAsia="Times New Roman"/>
          <w:color w:val="482D8C" w:themeColor="background2"/>
        </w:rPr>
      </w:pPr>
      <w:r>
        <w:rPr>
          <w:rFonts w:eastAsia="Times New Roman"/>
          <w:color w:val="482D8C" w:themeColor="background2"/>
        </w:rPr>
        <w:t>Evaluation Process</w:t>
      </w:r>
    </w:p>
    <w:p w14:paraId="1168E6D9" w14:textId="77777777" w:rsidR="00230AD2" w:rsidRDefault="00230AD2" w:rsidP="00230AD2">
      <w:r>
        <w:t>The evaluation process will include the following steps:</w:t>
      </w:r>
    </w:p>
    <w:p w14:paraId="006CD945" w14:textId="77777777" w:rsidR="00230AD2" w:rsidRPr="00230AD2" w:rsidRDefault="00230AD2" w:rsidP="00230AD2">
      <w:pPr>
        <w:rPr>
          <w:i/>
        </w:rPr>
      </w:pPr>
      <w:r w:rsidRPr="00230AD2">
        <w:rPr>
          <w:i/>
        </w:rPr>
        <w:t>a)</w:t>
      </w:r>
      <w:r w:rsidRPr="00230AD2">
        <w:rPr>
          <w:i/>
        </w:rPr>
        <w:tab/>
        <w:t>Compliance check</w:t>
      </w:r>
    </w:p>
    <w:p w14:paraId="6AD7D5A6" w14:textId="6AF83BC0" w:rsidR="00230AD2" w:rsidRDefault="00230AD2" w:rsidP="00074A48">
      <w:pPr>
        <w:pStyle w:val="ListParagraph"/>
        <w:numPr>
          <w:ilvl w:val="0"/>
          <w:numId w:val="10"/>
        </w:numPr>
      </w:pPr>
      <w:r>
        <w:t xml:space="preserve">meet the eligibility criteria (see Section </w:t>
      </w:r>
      <w:r w:rsidR="00433EAC">
        <w:t>3</w:t>
      </w:r>
      <w:r>
        <w:t xml:space="preserve">); </w:t>
      </w:r>
    </w:p>
    <w:p w14:paraId="752C3A3D" w14:textId="21F1CCBD" w:rsidR="00230AD2" w:rsidRDefault="00230AD2" w:rsidP="00074A48">
      <w:pPr>
        <w:pStyle w:val="ListParagraph"/>
        <w:numPr>
          <w:ilvl w:val="0"/>
          <w:numId w:val="10"/>
        </w:numPr>
      </w:pPr>
      <w:r>
        <w:t xml:space="preserve">address at least one of the </w:t>
      </w:r>
      <w:r w:rsidR="00BE312A">
        <w:t xml:space="preserve">Round Two </w:t>
      </w:r>
      <w:r>
        <w:t xml:space="preserve">Program Fund objectives; </w:t>
      </w:r>
    </w:p>
    <w:p w14:paraId="3CC321FC" w14:textId="77777777" w:rsidR="00230AD2" w:rsidRDefault="00230AD2" w:rsidP="00074A48">
      <w:pPr>
        <w:pStyle w:val="ListParagraph"/>
        <w:numPr>
          <w:ilvl w:val="0"/>
          <w:numId w:val="10"/>
        </w:numPr>
      </w:pPr>
      <w:r>
        <w:t xml:space="preserve">propose new initiatives and not seek funds to support applicant’s existing services unless the applicant can demonstrate additional outcomes; </w:t>
      </w:r>
    </w:p>
    <w:p w14:paraId="24FB82B6" w14:textId="17657387" w:rsidR="00230AD2" w:rsidRDefault="00230AD2" w:rsidP="00074A48">
      <w:pPr>
        <w:pStyle w:val="ListParagraph"/>
        <w:numPr>
          <w:ilvl w:val="0"/>
          <w:numId w:val="10"/>
        </w:numPr>
      </w:pPr>
      <w:r>
        <w:t xml:space="preserve">not be duplicative of ongoing projects/initiatives </w:t>
      </w:r>
      <w:r w:rsidR="008342FA">
        <w:t>aimed to support</w:t>
      </w:r>
      <w:r>
        <w:t xml:space="preserve"> women in trade; </w:t>
      </w:r>
    </w:p>
    <w:p w14:paraId="5FD24281" w14:textId="77777777" w:rsidR="00230AD2" w:rsidRDefault="00230AD2" w:rsidP="00074A48">
      <w:pPr>
        <w:pStyle w:val="ListParagraph"/>
        <w:numPr>
          <w:ilvl w:val="0"/>
          <w:numId w:val="10"/>
        </w:numPr>
      </w:pPr>
      <w:r>
        <w:t xml:space="preserve">include a financial proposal with itemised budget for the entire duration of the project; and </w:t>
      </w:r>
    </w:p>
    <w:p w14:paraId="204E2628" w14:textId="2A0DB54C" w:rsidR="00230AD2" w:rsidRDefault="00230AD2" w:rsidP="00074A48">
      <w:pPr>
        <w:pStyle w:val="ListParagraph"/>
        <w:numPr>
          <w:ilvl w:val="0"/>
          <w:numId w:val="10"/>
        </w:numPr>
      </w:pPr>
      <w:r>
        <w:t xml:space="preserve">provide all information required </w:t>
      </w:r>
      <w:r w:rsidR="00BE312A">
        <w:t xml:space="preserve">in </w:t>
      </w:r>
      <w:r>
        <w:t xml:space="preserve">the application form. </w:t>
      </w:r>
    </w:p>
    <w:p w14:paraId="711A9775" w14:textId="061AB833" w:rsidR="00230AD2" w:rsidRDefault="00230AD2" w:rsidP="00230AD2">
      <w:r>
        <w:t xml:space="preserve">In the instance of an incomplete application, it will not be forwarded </w:t>
      </w:r>
      <w:r w:rsidR="008342FA">
        <w:t xml:space="preserve">to the Evaluation Panel </w:t>
      </w:r>
      <w:r>
        <w:t>for further evaluation. Applicants are requested to ensure that applications meet eligibility criteria and all the information requested is included in the application at the time of submission.</w:t>
      </w:r>
    </w:p>
    <w:p w14:paraId="243155EC" w14:textId="77777777" w:rsidR="00230AD2" w:rsidRPr="00230AD2" w:rsidRDefault="00230AD2" w:rsidP="00230AD2">
      <w:pPr>
        <w:rPr>
          <w:i/>
        </w:rPr>
      </w:pPr>
      <w:r w:rsidRPr="00230AD2">
        <w:rPr>
          <w:i/>
        </w:rPr>
        <w:t>b)</w:t>
      </w:r>
      <w:r w:rsidRPr="00230AD2">
        <w:rPr>
          <w:i/>
        </w:rPr>
        <w:tab/>
        <w:t>Evaluation and final selection</w:t>
      </w:r>
    </w:p>
    <w:p w14:paraId="13BA004D" w14:textId="71F1B229" w:rsidR="00230AD2" w:rsidRDefault="00230AD2" w:rsidP="00230AD2">
      <w:r>
        <w:t xml:space="preserve">An Evaluation Panel will assess the written applications against the evaluation criteria and the value for money each application offers. The Evaluation Panel will be comprised of Government officials, and may include industry experts, </w:t>
      </w:r>
      <w:r w:rsidR="00BE312A">
        <w:t xml:space="preserve">and/or </w:t>
      </w:r>
      <w:r>
        <w:t>peak bodies. The Evaluation Panel members will be required to sign a Confidentiality and Conflict of Interest Undertaking. Reference checks may be considered by the Evaluation Panel before finalising the selections.</w:t>
      </w:r>
    </w:p>
    <w:p w14:paraId="61AA3AF9" w14:textId="26F55D92" w:rsidR="00230AD2" w:rsidRPr="00230AD2" w:rsidRDefault="00230AD2" w:rsidP="00230AD2">
      <w:pPr>
        <w:rPr>
          <w:i/>
        </w:rPr>
      </w:pPr>
      <w:r w:rsidRPr="00230AD2">
        <w:rPr>
          <w:i/>
        </w:rPr>
        <w:t>c)</w:t>
      </w:r>
      <w:r w:rsidRPr="00230AD2">
        <w:rPr>
          <w:i/>
        </w:rPr>
        <w:tab/>
        <w:t>Successful and u</w:t>
      </w:r>
      <w:r w:rsidR="00AE10CF">
        <w:rPr>
          <w:i/>
        </w:rPr>
        <w:t>nsuccessful applicants notified</w:t>
      </w:r>
    </w:p>
    <w:p w14:paraId="5AA55AB7" w14:textId="5C923841" w:rsidR="00321A8D" w:rsidRPr="00321A8D" w:rsidRDefault="00230AD2" w:rsidP="00230AD2">
      <w:r>
        <w:t xml:space="preserve">Successful and unsuccessful applicants will be notified by 22 February 2019. </w:t>
      </w:r>
      <w:r w:rsidR="00BE312A" w:rsidRPr="00BE312A">
        <w:t xml:space="preserve">Contract negotiation will occur through February 2019. </w:t>
      </w:r>
      <w:r w:rsidR="00BE312A">
        <w:t xml:space="preserve">Projects are </w:t>
      </w:r>
      <w:r>
        <w:t>expected to commence by 1 March 2019.</w:t>
      </w:r>
    </w:p>
    <w:p w14:paraId="5D1049F3" w14:textId="77777777" w:rsidR="003F631B" w:rsidRDefault="003F631B">
      <w:pPr>
        <w:spacing w:line="276" w:lineRule="auto"/>
        <w:rPr>
          <w:rFonts w:eastAsia="Times New Roman"/>
          <w:b/>
          <w:color w:val="482D8C" w:themeColor="background2"/>
          <w:sz w:val="32"/>
          <w:szCs w:val="28"/>
        </w:rPr>
      </w:pPr>
      <w:r>
        <w:rPr>
          <w:rFonts w:eastAsia="Times New Roman"/>
          <w:color w:val="482D8C" w:themeColor="background2"/>
        </w:rPr>
        <w:br w:type="page"/>
      </w:r>
    </w:p>
    <w:p w14:paraId="14960CC7" w14:textId="7B1483C6" w:rsidR="00321A8D" w:rsidRDefault="00321A8D" w:rsidP="00074A48">
      <w:pPr>
        <w:pStyle w:val="Heading3"/>
        <w:numPr>
          <w:ilvl w:val="0"/>
          <w:numId w:val="7"/>
        </w:numPr>
        <w:spacing w:before="100" w:beforeAutospacing="1" w:after="100" w:afterAutospacing="1"/>
        <w:contextualSpacing/>
        <w:rPr>
          <w:rFonts w:eastAsia="Times New Roman"/>
          <w:color w:val="482D8C" w:themeColor="background2"/>
        </w:rPr>
      </w:pPr>
      <w:r>
        <w:rPr>
          <w:rFonts w:eastAsia="Times New Roman"/>
          <w:color w:val="482D8C" w:themeColor="background2"/>
        </w:rPr>
        <w:lastRenderedPageBreak/>
        <w:t>Evaluation Criteria</w:t>
      </w:r>
      <w:r w:rsidRPr="00337416">
        <w:rPr>
          <w:rFonts w:eastAsia="Times New Roman"/>
          <w:color w:val="482D8C" w:themeColor="background2"/>
        </w:rPr>
        <w:t xml:space="preserve"> </w:t>
      </w:r>
    </w:p>
    <w:p w14:paraId="5B74F027" w14:textId="4A19322D" w:rsidR="00321A8D" w:rsidRDefault="0091794F" w:rsidP="00321A8D">
      <w:r w:rsidRPr="0091794F">
        <w:t xml:space="preserve">Evaluation criteria are used in the evaluation of applications to select the applications that best meet the objectives and requirements of the Program Funds and offer </w:t>
      </w:r>
      <w:r w:rsidRPr="00A978DD">
        <w:rPr>
          <w:b/>
        </w:rPr>
        <w:t>value for money</w:t>
      </w:r>
      <w:r w:rsidRPr="0091794F">
        <w:t>. Applications will be assessed against the following evaluation criteria.</w:t>
      </w:r>
    </w:p>
    <w:tbl>
      <w:tblPr>
        <w:tblStyle w:val="ColorfulList-Accent5"/>
        <w:tblW w:w="8931" w:type="dxa"/>
        <w:tblLook w:val="04A0" w:firstRow="1" w:lastRow="0" w:firstColumn="1" w:lastColumn="0" w:noHBand="0" w:noVBand="1"/>
      </w:tblPr>
      <w:tblGrid>
        <w:gridCol w:w="8222"/>
        <w:gridCol w:w="709"/>
      </w:tblGrid>
      <w:tr w:rsidR="00532054" w14:paraId="6DD422C9" w14:textId="77777777" w:rsidTr="002C67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22" w:type="dxa"/>
          </w:tcPr>
          <w:p w14:paraId="04C5186D" w14:textId="77777777" w:rsidR="00532054" w:rsidRPr="00532054" w:rsidRDefault="00532054" w:rsidP="00074A48">
            <w:pPr>
              <w:pStyle w:val="Tablehead"/>
              <w:numPr>
                <w:ilvl w:val="0"/>
                <w:numId w:val="16"/>
              </w:numPr>
              <w:rPr>
                <w:b/>
              </w:rPr>
            </w:pPr>
            <w:r w:rsidRPr="00532054">
              <w:rPr>
                <w:b/>
              </w:rPr>
              <w:t>Organisational Effectiveness</w:t>
            </w:r>
          </w:p>
        </w:tc>
        <w:tc>
          <w:tcPr>
            <w:tcW w:w="709" w:type="dxa"/>
          </w:tcPr>
          <w:p w14:paraId="1846C3D9" w14:textId="77777777" w:rsidR="00532054" w:rsidRPr="00532054" w:rsidRDefault="00532054" w:rsidP="002C6764">
            <w:pPr>
              <w:pStyle w:val="Tablehead"/>
              <w:cnfStyle w:val="100000000000" w:firstRow="1" w:lastRow="0" w:firstColumn="0" w:lastColumn="0" w:oddVBand="0" w:evenVBand="0" w:oddHBand="0" w:evenHBand="0" w:firstRowFirstColumn="0" w:firstRowLastColumn="0" w:lastRowFirstColumn="0" w:lastRowLastColumn="0"/>
              <w:rPr>
                <w:b/>
              </w:rPr>
            </w:pPr>
            <w:r w:rsidRPr="00532054">
              <w:rPr>
                <w:b/>
              </w:rPr>
              <w:t>50%</w:t>
            </w:r>
          </w:p>
        </w:tc>
      </w:tr>
      <w:tr w:rsidR="00532054" w14:paraId="52EB74AE" w14:textId="77777777" w:rsidTr="002C67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22" w:type="dxa"/>
          </w:tcPr>
          <w:p w14:paraId="7E4779BE" w14:textId="2C38595B" w:rsidR="00532054" w:rsidRPr="00074A48" w:rsidRDefault="00532054" w:rsidP="00074A48">
            <w:pPr>
              <w:pStyle w:val="ListParagraph"/>
              <w:numPr>
                <w:ilvl w:val="0"/>
                <w:numId w:val="19"/>
              </w:numPr>
              <w:rPr>
                <w:b w:val="0"/>
              </w:rPr>
            </w:pPr>
            <w:r w:rsidRPr="00074A48">
              <w:rPr>
                <w:b w:val="0"/>
              </w:rPr>
              <w:t>Understanding of the issues and factors impeding the take up of trades by women</w:t>
            </w:r>
          </w:p>
        </w:tc>
        <w:tc>
          <w:tcPr>
            <w:tcW w:w="709" w:type="dxa"/>
          </w:tcPr>
          <w:p w14:paraId="171670A0" w14:textId="77777777" w:rsidR="00532054" w:rsidRDefault="00532054" w:rsidP="002C6764">
            <w:pPr>
              <w:cnfStyle w:val="000000100000" w:firstRow="0" w:lastRow="0" w:firstColumn="0" w:lastColumn="0" w:oddVBand="0" w:evenVBand="0" w:oddHBand="1" w:evenHBand="0" w:firstRowFirstColumn="0" w:firstRowLastColumn="0" w:lastRowFirstColumn="0" w:lastRowLastColumn="0"/>
            </w:pPr>
          </w:p>
        </w:tc>
      </w:tr>
      <w:tr w:rsidR="00532054" w14:paraId="2BA4DE10" w14:textId="77777777" w:rsidTr="002C6764">
        <w:tc>
          <w:tcPr>
            <w:cnfStyle w:val="001000000000" w:firstRow="0" w:lastRow="0" w:firstColumn="1" w:lastColumn="0" w:oddVBand="0" w:evenVBand="0" w:oddHBand="0" w:evenHBand="0" w:firstRowFirstColumn="0" w:firstRowLastColumn="0" w:lastRowFirstColumn="0" w:lastRowLastColumn="0"/>
            <w:tcW w:w="8222" w:type="dxa"/>
          </w:tcPr>
          <w:p w14:paraId="2DE806C9" w14:textId="0B1694E3" w:rsidR="00532054" w:rsidRPr="00134F6D" w:rsidRDefault="00532054" w:rsidP="00074A48">
            <w:pPr>
              <w:pStyle w:val="ListParagraph"/>
              <w:numPr>
                <w:ilvl w:val="0"/>
                <w:numId w:val="19"/>
              </w:numPr>
              <w:rPr>
                <w:b w:val="0"/>
                <w:color w:val="auto"/>
              </w:rPr>
            </w:pPr>
            <w:r w:rsidRPr="00134F6D">
              <w:rPr>
                <w:b w:val="0"/>
                <w:color w:val="auto"/>
              </w:rPr>
              <w:t>Capacity to learn from previous relevant experience in program delivery in similar or related activities</w:t>
            </w:r>
          </w:p>
        </w:tc>
        <w:tc>
          <w:tcPr>
            <w:tcW w:w="709" w:type="dxa"/>
          </w:tcPr>
          <w:p w14:paraId="3959231D" w14:textId="77777777" w:rsidR="00532054" w:rsidRDefault="00532054" w:rsidP="002C6764">
            <w:pPr>
              <w:cnfStyle w:val="000000000000" w:firstRow="0" w:lastRow="0" w:firstColumn="0" w:lastColumn="0" w:oddVBand="0" w:evenVBand="0" w:oddHBand="0" w:evenHBand="0" w:firstRowFirstColumn="0" w:firstRowLastColumn="0" w:lastRowFirstColumn="0" w:lastRowLastColumn="0"/>
            </w:pPr>
          </w:p>
        </w:tc>
      </w:tr>
      <w:tr w:rsidR="00532054" w14:paraId="6ED57C01" w14:textId="77777777" w:rsidTr="002C67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22" w:type="dxa"/>
          </w:tcPr>
          <w:p w14:paraId="6EE7CD13" w14:textId="77777777" w:rsidR="00532054" w:rsidRPr="00134F6D" w:rsidRDefault="00532054" w:rsidP="00074A48">
            <w:pPr>
              <w:pStyle w:val="ListParagraph"/>
              <w:numPr>
                <w:ilvl w:val="0"/>
                <w:numId w:val="19"/>
              </w:numPr>
              <w:rPr>
                <w:b w:val="0"/>
                <w:color w:val="auto"/>
              </w:rPr>
            </w:pPr>
            <w:r w:rsidRPr="00134F6D">
              <w:rPr>
                <w:b w:val="0"/>
                <w:color w:val="auto"/>
              </w:rPr>
              <w:t>Staff capacity and capability to implement the program and activities outlined in the application (consider staff: funding ratio)</w:t>
            </w:r>
          </w:p>
        </w:tc>
        <w:tc>
          <w:tcPr>
            <w:tcW w:w="709" w:type="dxa"/>
          </w:tcPr>
          <w:p w14:paraId="4DB333C2" w14:textId="77777777" w:rsidR="00532054" w:rsidRDefault="00532054" w:rsidP="002C6764">
            <w:pPr>
              <w:cnfStyle w:val="000000100000" w:firstRow="0" w:lastRow="0" w:firstColumn="0" w:lastColumn="0" w:oddVBand="0" w:evenVBand="0" w:oddHBand="1" w:evenHBand="0" w:firstRowFirstColumn="0" w:firstRowLastColumn="0" w:lastRowFirstColumn="0" w:lastRowLastColumn="0"/>
            </w:pPr>
          </w:p>
        </w:tc>
      </w:tr>
      <w:tr w:rsidR="00532054" w14:paraId="18CCDB72" w14:textId="77777777" w:rsidTr="002C6764">
        <w:tc>
          <w:tcPr>
            <w:cnfStyle w:val="001000000000" w:firstRow="0" w:lastRow="0" w:firstColumn="1" w:lastColumn="0" w:oddVBand="0" w:evenVBand="0" w:oddHBand="0" w:evenHBand="0" w:firstRowFirstColumn="0" w:firstRowLastColumn="0" w:lastRowFirstColumn="0" w:lastRowLastColumn="0"/>
            <w:tcW w:w="8222" w:type="dxa"/>
          </w:tcPr>
          <w:p w14:paraId="0F032D19" w14:textId="77777777" w:rsidR="00532054" w:rsidRPr="00134F6D" w:rsidRDefault="00532054" w:rsidP="00074A48">
            <w:pPr>
              <w:pStyle w:val="ListParagraph"/>
              <w:numPr>
                <w:ilvl w:val="0"/>
                <w:numId w:val="19"/>
              </w:numPr>
              <w:rPr>
                <w:b w:val="0"/>
                <w:color w:val="auto"/>
              </w:rPr>
            </w:pPr>
            <w:r w:rsidRPr="00134F6D">
              <w:rPr>
                <w:b w:val="0"/>
                <w:color w:val="auto"/>
              </w:rPr>
              <w:t>Capability to engage with target groups and build meaningful collaborative approach with stakeholders</w:t>
            </w:r>
          </w:p>
        </w:tc>
        <w:tc>
          <w:tcPr>
            <w:tcW w:w="709" w:type="dxa"/>
          </w:tcPr>
          <w:p w14:paraId="07E5DFF1" w14:textId="77777777" w:rsidR="00532054" w:rsidRDefault="00532054" w:rsidP="002C6764">
            <w:pPr>
              <w:cnfStyle w:val="000000000000" w:firstRow="0" w:lastRow="0" w:firstColumn="0" w:lastColumn="0" w:oddVBand="0" w:evenVBand="0" w:oddHBand="0" w:evenHBand="0" w:firstRowFirstColumn="0" w:firstRowLastColumn="0" w:lastRowFirstColumn="0" w:lastRowLastColumn="0"/>
            </w:pPr>
          </w:p>
        </w:tc>
      </w:tr>
      <w:tr w:rsidR="00532054" w14:paraId="341ADBD0" w14:textId="77777777" w:rsidTr="002C67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22" w:type="dxa"/>
          </w:tcPr>
          <w:p w14:paraId="060B756A" w14:textId="29AD6556" w:rsidR="00532054" w:rsidRPr="00532054" w:rsidRDefault="00532054" w:rsidP="00074A48">
            <w:pPr>
              <w:pStyle w:val="ListParagraph"/>
              <w:numPr>
                <w:ilvl w:val="0"/>
                <w:numId w:val="19"/>
              </w:numPr>
              <w:rPr>
                <w:b w:val="0"/>
              </w:rPr>
            </w:pPr>
            <w:r w:rsidRPr="00532054">
              <w:rPr>
                <w:b w:val="0"/>
              </w:rPr>
              <w:t>Demonstrated match</w:t>
            </w:r>
            <w:r w:rsidR="002373B7">
              <w:rPr>
                <w:b w:val="0"/>
              </w:rPr>
              <w:t>ed</w:t>
            </w:r>
            <w:r w:rsidRPr="00532054">
              <w:rPr>
                <w:b w:val="0"/>
              </w:rPr>
              <w:t xml:space="preserve"> funding contribution</w:t>
            </w:r>
          </w:p>
        </w:tc>
        <w:tc>
          <w:tcPr>
            <w:tcW w:w="709" w:type="dxa"/>
          </w:tcPr>
          <w:p w14:paraId="00A4248D" w14:textId="77777777" w:rsidR="00532054" w:rsidRDefault="00532054" w:rsidP="002C6764">
            <w:pPr>
              <w:cnfStyle w:val="000000100000" w:firstRow="0" w:lastRow="0" w:firstColumn="0" w:lastColumn="0" w:oddVBand="0" w:evenVBand="0" w:oddHBand="1" w:evenHBand="0" w:firstRowFirstColumn="0" w:firstRowLastColumn="0" w:lastRowFirstColumn="0" w:lastRowLastColumn="0"/>
            </w:pPr>
          </w:p>
        </w:tc>
      </w:tr>
      <w:tr w:rsidR="00532054" w14:paraId="5A7BF85E" w14:textId="77777777" w:rsidTr="002C6764">
        <w:trPr>
          <w:trHeight w:val="425"/>
        </w:trPr>
        <w:tc>
          <w:tcPr>
            <w:cnfStyle w:val="001000000000" w:firstRow="0" w:lastRow="0" w:firstColumn="1" w:lastColumn="0" w:oddVBand="0" w:evenVBand="0" w:oddHBand="0" w:evenHBand="0" w:firstRowFirstColumn="0" w:firstRowLastColumn="0" w:lastRowFirstColumn="0" w:lastRowLastColumn="0"/>
            <w:tcW w:w="8222" w:type="dxa"/>
            <w:shd w:val="clear" w:color="auto" w:fill="482D8C" w:themeFill="background2"/>
          </w:tcPr>
          <w:p w14:paraId="056F82F3" w14:textId="2C204861" w:rsidR="00532054" w:rsidRPr="00074A48" w:rsidRDefault="00532054" w:rsidP="00074A48">
            <w:pPr>
              <w:pStyle w:val="ListParagraph"/>
              <w:numPr>
                <w:ilvl w:val="0"/>
                <w:numId w:val="16"/>
              </w:numPr>
              <w:rPr>
                <w:rFonts w:asciiTheme="majorHAnsi" w:hAnsiTheme="majorHAnsi" w:cstheme="majorHAnsi"/>
                <w:color w:val="FFFFFF" w:themeColor="background1"/>
              </w:rPr>
            </w:pPr>
            <w:r w:rsidRPr="00074A48">
              <w:rPr>
                <w:rFonts w:asciiTheme="majorHAnsi" w:hAnsiTheme="majorHAnsi" w:cstheme="majorHAnsi"/>
                <w:color w:val="FFFFFF" w:themeColor="background1"/>
              </w:rPr>
              <w:t xml:space="preserve">Activity Effectiveness </w:t>
            </w:r>
          </w:p>
        </w:tc>
        <w:tc>
          <w:tcPr>
            <w:tcW w:w="709" w:type="dxa"/>
            <w:shd w:val="clear" w:color="auto" w:fill="482D8C" w:themeFill="background2"/>
          </w:tcPr>
          <w:p w14:paraId="21FF4EBA" w14:textId="77777777" w:rsidR="00532054" w:rsidRPr="00532054" w:rsidRDefault="00532054" w:rsidP="002C6764">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color w:val="FFFFFF" w:themeColor="background1"/>
              </w:rPr>
            </w:pPr>
            <w:r w:rsidRPr="00532054">
              <w:rPr>
                <w:rFonts w:asciiTheme="majorHAnsi" w:hAnsiTheme="majorHAnsi" w:cstheme="majorHAnsi"/>
                <w:b/>
                <w:color w:val="FFFFFF" w:themeColor="background1"/>
              </w:rPr>
              <w:t>50%</w:t>
            </w:r>
          </w:p>
        </w:tc>
      </w:tr>
      <w:tr w:rsidR="00532054" w14:paraId="7005AA3C" w14:textId="77777777" w:rsidTr="002C67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22" w:type="dxa"/>
          </w:tcPr>
          <w:p w14:paraId="60F41895" w14:textId="77777777" w:rsidR="00532054" w:rsidRPr="00532054" w:rsidRDefault="00532054" w:rsidP="00074A48">
            <w:pPr>
              <w:pStyle w:val="ListParagraph"/>
              <w:numPr>
                <w:ilvl w:val="0"/>
                <w:numId w:val="18"/>
              </w:numPr>
              <w:rPr>
                <w:b w:val="0"/>
              </w:rPr>
            </w:pPr>
            <w:r w:rsidRPr="00532054">
              <w:rPr>
                <w:b w:val="0"/>
              </w:rPr>
              <w:t xml:space="preserve">Originality </w:t>
            </w:r>
            <w:r w:rsidRPr="00134F6D">
              <w:rPr>
                <w:b w:val="0"/>
                <w:color w:val="auto"/>
              </w:rPr>
              <w:t>and innovation of the proposed activities in addressing Program objectives</w:t>
            </w:r>
          </w:p>
        </w:tc>
        <w:tc>
          <w:tcPr>
            <w:tcW w:w="709" w:type="dxa"/>
          </w:tcPr>
          <w:p w14:paraId="0F5FF9FA" w14:textId="77777777" w:rsidR="00532054" w:rsidRDefault="00532054" w:rsidP="002C6764">
            <w:pPr>
              <w:cnfStyle w:val="000000100000" w:firstRow="0" w:lastRow="0" w:firstColumn="0" w:lastColumn="0" w:oddVBand="0" w:evenVBand="0" w:oddHBand="1" w:evenHBand="0" w:firstRowFirstColumn="0" w:firstRowLastColumn="0" w:lastRowFirstColumn="0" w:lastRowLastColumn="0"/>
            </w:pPr>
          </w:p>
        </w:tc>
      </w:tr>
      <w:tr w:rsidR="00532054" w14:paraId="27E675B1" w14:textId="77777777" w:rsidTr="002C6764">
        <w:tc>
          <w:tcPr>
            <w:cnfStyle w:val="001000000000" w:firstRow="0" w:lastRow="0" w:firstColumn="1" w:lastColumn="0" w:oddVBand="0" w:evenVBand="0" w:oddHBand="0" w:evenHBand="0" w:firstRowFirstColumn="0" w:firstRowLastColumn="0" w:lastRowFirstColumn="0" w:lastRowLastColumn="0"/>
            <w:tcW w:w="8222" w:type="dxa"/>
          </w:tcPr>
          <w:p w14:paraId="2460A567" w14:textId="43A6C449" w:rsidR="00532054" w:rsidRPr="00532054" w:rsidRDefault="00BB49DB" w:rsidP="00316528">
            <w:pPr>
              <w:pStyle w:val="ListParagraph"/>
              <w:numPr>
                <w:ilvl w:val="0"/>
                <w:numId w:val="18"/>
              </w:numPr>
              <w:rPr>
                <w:b w:val="0"/>
              </w:rPr>
            </w:pPr>
            <w:r>
              <w:rPr>
                <w:b w:val="0"/>
              </w:rPr>
              <w:t>Evidence supporting the likely effectiveness of the proposed strategies</w:t>
            </w:r>
            <w:r w:rsidR="00316528">
              <w:rPr>
                <w:b w:val="0"/>
              </w:rPr>
              <w:t xml:space="preserve"> and activities</w:t>
            </w:r>
            <w:r>
              <w:rPr>
                <w:b w:val="0"/>
              </w:rPr>
              <w:t xml:space="preserve"> to address one or both of the program objectives</w:t>
            </w:r>
          </w:p>
        </w:tc>
        <w:tc>
          <w:tcPr>
            <w:tcW w:w="709" w:type="dxa"/>
          </w:tcPr>
          <w:p w14:paraId="2AB61F96" w14:textId="77777777" w:rsidR="00532054" w:rsidRDefault="00532054" w:rsidP="002C6764">
            <w:pPr>
              <w:cnfStyle w:val="000000000000" w:firstRow="0" w:lastRow="0" w:firstColumn="0" w:lastColumn="0" w:oddVBand="0" w:evenVBand="0" w:oddHBand="0" w:evenHBand="0" w:firstRowFirstColumn="0" w:firstRowLastColumn="0" w:lastRowFirstColumn="0" w:lastRowLastColumn="0"/>
            </w:pPr>
          </w:p>
        </w:tc>
      </w:tr>
      <w:tr w:rsidR="00532054" w14:paraId="321EED38" w14:textId="77777777" w:rsidTr="002C67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22" w:type="dxa"/>
          </w:tcPr>
          <w:p w14:paraId="4F3DC39E" w14:textId="004A4EC8" w:rsidR="00532054" w:rsidRPr="00532054" w:rsidRDefault="00532054" w:rsidP="00074A48">
            <w:pPr>
              <w:pStyle w:val="ListParagraph"/>
              <w:numPr>
                <w:ilvl w:val="0"/>
                <w:numId w:val="18"/>
              </w:numPr>
              <w:rPr>
                <w:b w:val="0"/>
              </w:rPr>
            </w:pPr>
            <w:r w:rsidRPr="00134F6D">
              <w:rPr>
                <w:b w:val="0"/>
                <w:color w:val="auto"/>
              </w:rPr>
              <w:t>Effectiveness of proposed communication elements</w:t>
            </w:r>
            <w:r w:rsidR="00074A48" w:rsidRPr="00134F6D">
              <w:rPr>
                <w:b w:val="0"/>
                <w:color w:val="auto"/>
              </w:rPr>
              <w:t xml:space="preserve">, including </w:t>
            </w:r>
            <w:r w:rsidR="00316528">
              <w:rPr>
                <w:b w:val="0"/>
                <w:color w:val="auto"/>
              </w:rPr>
              <w:t xml:space="preserve">engagement with stakeholders and </w:t>
            </w:r>
            <w:r w:rsidR="00074A48" w:rsidRPr="00134F6D">
              <w:rPr>
                <w:b w:val="0"/>
                <w:color w:val="auto"/>
              </w:rPr>
              <w:t xml:space="preserve">how </w:t>
            </w:r>
            <w:r w:rsidRPr="00134F6D">
              <w:rPr>
                <w:b w:val="0"/>
                <w:color w:val="auto"/>
              </w:rPr>
              <w:t xml:space="preserve">outcomes can be shared beyond the </w:t>
            </w:r>
            <w:r w:rsidRPr="00532054">
              <w:rPr>
                <w:b w:val="0"/>
              </w:rPr>
              <w:t>direct parties involved</w:t>
            </w:r>
          </w:p>
        </w:tc>
        <w:tc>
          <w:tcPr>
            <w:tcW w:w="709" w:type="dxa"/>
          </w:tcPr>
          <w:p w14:paraId="0F8666B5" w14:textId="77777777" w:rsidR="00532054" w:rsidRDefault="00532054" w:rsidP="002C6764">
            <w:pPr>
              <w:cnfStyle w:val="000000100000" w:firstRow="0" w:lastRow="0" w:firstColumn="0" w:lastColumn="0" w:oddVBand="0" w:evenVBand="0" w:oddHBand="1" w:evenHBand="0" w:firstRowFirstColumn="0" w:firstRowLastColumn="0" w:lastRowFirstColumn="0" w:lastRowLastColumn="0"/>
            </w:pPr>
          </w:p>
        </w:tc>
      </w:tr>
      <w:tr w:rsidR="00532054" w14:paraId="6810DA31" w14:textId="77777777" w:rsidTr="002C6764">
        <w:tc>
          <w:tcPr>
            <w:cnfStyle w:val="001000000000" w:firstRow="0" w:lastRow="0" w:firstColumn="1" w:lastColumn="0" w:oddVBand="0" w:evenVBand="0" w:oddHBand="0" w:evenHBand="0" w:firstRowFirstColumn="0" w:firstRowLastColumn="0" w:lastRowFirstColumn="0" w:lastRowLastColumn="0"/>
            <w:tcW w:w="8222" w:type="dxa"/>
          </w:tcPr>
          <w:p w14:paraId="677F5169" w14:textId="77777777" w:rsidR="00532054" w:rsidRPr="00532054" w:rsidRDefault="00532054" w:rsidP="00074A48">
            <w:pPr>
              <w:pStyle w:val="ListParagraph"/>
              <w:numPr>
                <w:ilvl w:val="0"/>
                <w:numId w:val="18"/>
              </w:numPr>
              <w:rPr>
                <w:b w:val="0"/>
              </w:rPr>
            </w:pPr>
            <w:r w:rsidRPr="00532054">
              <w:rPr>
                <w:b w:val="0"/>
              </w:rPr>
              <w:t>Ability to identify linkages to other existing initiatives, both local and national, and how they will be leveraged</w:t>
            </w:r>
          </w:p>
        </w:tc>
        <w:tc>
          <w:tcPr>
            <w:tcW w:w="709" w:type="dxa"/>
          </w:tcPr>
          <w:p w14:paraId="1A6321B5" w14:textId="77777777" w:rsidR="00532054" w:rsidRDefault="00532054" w:rsidP="002C6764">
            <w:pPr>
              <w:cnfStyle w:val="000000000000" w:firstRow="0" w:lastRow="0" w:firstColumn="0" w:lastColumn="0" w:oddVBand="0" w:evenVBand="0" w:oddHBand="0" w:evenHBand="0" w:firstRowFirstColumn="0" w:firstRowLastColumn="0" w:lastRowFirstColumn="0" w:lastRowLastColumn="0"/>
            </w:pPr>
          </w:p>
        </w:tc>
      </w:tr>
      <w:tr w:rsidR="00532054" w14:paraId="1C760FB9" w14:textId="77777777" w:rsidTr="002C67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22" w:type="dxa"/>
          </w:tcPr>
          <w:p w14:paraId="698F87E7" w14:textId="29ED43DC" w:rsidR="00532054" w:rsidRPr="00532054" w:rsidRDefault="00532054" w:rsidP="00074A48">
            <w:pPr>
              <w:pStyle w:val="ListParagraph"/>
              <w:numPr>
                <w:ilvl w:val="0"/>
                <w:numId w:val="18"/>
              </w:numPr>
              <w:rPr>
                <w:b w:val="0"/>
              </w:rPr>
            </w:pPr>
            <w:r w:rsidRPr="00532054">
              <w:rPr>
                <w:b w:val="0"/>
              </w:rPr>
              <w:t xml:space="preserve">Demonstrated adherence to the </w:t>
            </w:r>
            <w:r w:rsidRPr="00BB49DB">
              <w:rPr>
                <w:b w:val="0"/>
                <w:i/>
              </w:rPr>
              <w:t xml:space="preserve">Work Health Safety Act </w:t>
            </w:r>
            <w:r w:rsidR="00074A48" w:rsidRPr="00BB49DB">
              <w:rPr>
                <w:b w:val="0"/>
                <w:i/>
              </w:rPr>
              <w:t>2011</w:t>
            </w:r>
            <w:r w:rsidR="00074A48">
              <w:rPr>
                <w:b w:val="0"/>
              </w:rPr>
              <w:t xml:space="preserve"> </w:t>
            </w:r>
            <w:r w:rsidRPr="00532054">
              <w:rPr>
                <w:b w:val="0"/>
              </w:rPr>
              <w:t>and Regulations</w:t>
            </w:r>
          </w:p>
        </w:tc>
        <w:tc>
          <w:tcPr>
            <w:tcW w:w="709" w:type="dxa"/>
          </w:tcPr>
          <w:p w14:paraId="425D9DA8" w14:textId="77777777" w:rsidR="00532054" w:rsidRDefault="00532054" w:rsidP="002C6764">
            <w:pPr>
              <w:cnfStyle w:val="000000100000" w:firstRow="0" w:lastRow="0" w:firstColumn="0" w:lastColumn="0" w:oddVBand="0" w:evenVBand="0" w:oddHBand="1" w:evenHBand="0" w:firstRowFirstColumn="0" w:firstRowLastColumn="0" w:lastRowFirstColumn="0" w:lastRowLastColumn="0"/>
            </w:pPr>
          </w:p>
        </w:tc>
      </w:tr>
    </w:tbl>
    <w:p w14:paraId="20C72153" w14:textId="77777777" w:rsidR="0091794F" w:rsidRPr="00321A8D" w:rsidRDefault="0091794F" w:rsidP="00321A8D"/>
    <w:p w14:paraId="125630AA" w14:textId="77777777" w:rsidR="00321A8D" w:rsidRDefault="00321A8D" w:rsidP="00074A48">
      <w:pPr>
        <w:pStyle w:val="Heading3"/>
        <w:numPr>
          <w:ilvl w:val="0"/>
          <w:numId w:val="7"/>
        </w:numPr>
        <w:spacing w:before="100" w:beforeAutospacing="1" w:after="100" w:afterAutospacing="1"/>
        <w:ind w:left="709" w:hanging="349"/>
        <w:contextualSpacing/>
        <w:rPr>
          <w:rFonts w:eastAsia="Times New Roman"/>
          <w:color w:val="482D8C" w:themeColor="background2"/>
        </w:rPr>
      </w:pPr>
      <w:r>
        <w:rPr>
          <w:rFonts w:eastAsia="Times New Roman"/>
          <w:color w:val="482D8C" w:themeColor="background2"/>
        </w:rPr>
        <w:t>Information Session</w:t>
      </w:r>
    </w:p>
    <w:p w14:paraId="0F95B67D" w14:textId="6F28DEE2" w:rsidR="00141616" w:rsidRDefault="00141616" w:rsidP="00141616">
      <w:r>
        <w:t>Applicants are invited to attend the</w:t>
      </w:r>
      <w:r w:rsidR="002373B7">
        <w:t xml:space="preserve"> scheduled information session for</w:t>
      </w:r>
      <w:r>
        <w:t xml:space="preserve"> </w:t>
      </w:r>
      <w:r w:rsidR="000D0F1B">
        <w:t xml:space="preserve">Round Two of </w:t>
      </w:r>
      <w:r>
        <w:t xml:space="preserve">the 2018 ACT Women in Trades Grants Program. The presentation from the session and FAQs arising from the information session will be made available </w:t>
      </w:r>
      <w:r w:rsidR="00612812">
        <w:t>at</w:t>
      </w:r>
      <w:r w:rsidR="00433EAC">
        <w:t xml:space="preserve"> grants program webpage. </w:t>
      </w:r>
      <w:r w:rsidRPr="00716B52">
        <w:t xml:space="preserve"> </w:t>
      </w:r>
    </w:p>
    <w:p w14:paraId="7D868CE2" w14:textId="77777777" w:rsidR="00141616" w:rsidRDefault="00141616" w:rsidP="00074A48">
      <w:pPr>
        <w:pStyle w:val="ListParagraph"/>
        <w:numPr>
          <w:ilvl w:val="0"/>
          <w:numId w:val="11"/>
        </w:numPr>
      </w:pPr>
      <w:r>
        <w:t>Date: Tuesday, 13 November 2018</w:t>
      </w:r>
    </w:p>
    <w:p w14:paraId="2DD7B223" w14:textId="77777777" w:rsidR="00141616" w:rsidRDefault="00141616" w:rsidP="00074A48">
      <w:pPr>
        <w:pStyle w:val="ListParagraph"/>
        <w:numPr>
          <w:ilvl w:val="0"/>
          <w:numId w:val="11"/>
        </w:numPr>
      </w:pPr>
      <w:r>
        <w:t>Time: 2:00 to 3:30 PM</w:t>
      </w:r>
    </w:p>
    <w:p w14:paraId="46D9C241" w14:textId="0DFB7AF1" w:rsidR="00141616" w:rsidRDefault="00141616" w:rsidP="00074A48">
      <w:pPr>
        <w:pStyle w:val="ListParagraph"/>
        <w:numPr>
          <w:ilvl w:val="0"/>
          <w:numId w:val="11"/>
        </w:numPr>
      </w:pPr>
      <w:r>
        <w:t>Location: Canberra Nara Centre, 1 Constitution Avenue</w:t>
      </w:r>
    </w:p>
    <w:p w14:paraId="2AFE13C7" w14:textId="03A82654" w:rsidR="00321A8D" w:rsidRPr="00321A8D" w:rsidRDefault="00141616" w:rsidP="00141616">
      <w:r>
        <w:t xml:space="preserve">Registration: Please email the name of the organisation along with the name and contact information of the person attending the Information session to </w:t>
      </w:r>
      <w:hyperlink r:id="rId14" w:history="1">
        <w:r w:rsidR="00433EAC" w:rsidRPr="00CA3D7D">
          <w:rPr>
            <w:rStyle w:val="Hyperlink"/>
          </w:rPr>
          <w:t>skills@act.gov.au</w:t>
        </w:r>
      </w:hyperlink>
      <w:r w:rsidR="00433EAC">
        <w:t xml:space="preserve"> </w:t>
      </w:r>
      <w:r>
        <w:t>by 12 November, 2018.</w:t>
      </w:r>
    </w:p>
    <w:p w14:paraId="70497CCD" w14:textId="77777777" w:rsidR="00321A8D" w:rsidRDefault="00321A8D" w:rsidP="00074A48">
      <w:pPr>
        <w:pStyle w:val="Heading3"/>
        <w:numPr>
          <w:ilvl w:val="0"/>
          <w:numId w:val="7"/>
        </w:numPr>
        <w:spacing w:before="100" w:beforeAutospacing="1" w:after="100" w:afterAutospacing="1"/>
        <w:ind w:left="709" w:hanging="349"/>
        <w:contextualSpacing/>
        <w:rPr>
          <w:rFonts w:eastAsia="Times New Roman"/>
          <w:color w:val="482D8C" w:themeColor="background2"/>
        </w:rPr>
      </w:pPr>
      <w:r>
        <w:rPr>
          <w:rFonts w:eastAsia="Times New Roman"/>
          <w:color w:val="482D8C" w:themeColor="background2"/>
        </w:rPr>
        <w:t>Administrative Requirement</w:t>
      </w:r>
    </w:p>
    <w:p w14:paraId="4E45B790" w14:textId="77777777" w:rsidR="00267AA6" w:rsidRDefault="00267AA6" w:rsidP="00267AA6">
      <w:r>
        <w:t>Successful applicants must:</w:t>
      </w:r>
    </w:p>
    <w:p w14:paraId="639FE926" w14:textId="77777777" w:rsidR="00267AA6" w:rsidRDefault="00267AA6" w:rsidP="00074A48">
      <w:pPr>
        <w:pStyle w:val="ListParagraph"/>
        <w:numPr>
          <w:ilvl w:val="0"/>
          <w:numId w:val="13"/>
        </w:numPr>
      </w:pPr>
      <w:r>
        <w:lastRenderedPageBreak/>
        <w:t>enter into a Deed of Grant (the Deed) (template provided at Attachment B) with the ACT Government which outlines the requirements of the Grants Program and the conditions under which the funding is awarded;</w:t>
      </w:r>
    </w:p>
    <w:p w14:paraId="08C04ED8" w14:textId="77777777" w:rsidR="00267AA6" w:rsidRDefault="00267AA6" w:rsidP="00074A48">
      <w:pPr>
        <w:pStyle w:val="ListParagraph"/>
        <w:numPr>
          <w:ilvl w:val="0"/>
          <w:numId w:val="13"/>
        </w:numPr>
      </w:pPr>
      <w:r>
        <w:t xml:space="preserve">report project outcomes and acquit the grant funding as outlined in Section 6 </w:t>
      </w:r>
      <w:r w:rsidRPr="00267AA6">
        <w:rPr>
          <w:rFonts w:ascii="Calibri" w:hAnsi="Calibri" w:cs="Calibri"/>
        </w:rPr>
        <w:t>–</w:t>
      </w:r>
      <w:r>
        <w:t xml:space="preserve"> Reporting and Acquittal of Funds of these guidelines;</w:t>
      </w:r>
    </w:p>
    <w:p w14:paraId="549D677E" w14:textId="77777777" w:rsidR="00267AA6" w:rsidRDefault="00267AA6" w:rsidP="00074A48">
      <w:pPr>
        <w:pStyle w:val="ListParagraph"/>
        <w:numPr>
          <w:ilvl w:val="0"/>
          <w:numId w:val="13"/>
        </w:numPr>
      </w:pPr>
      <w:r>
        <w:t>hold and keep current for the grant period, all insurance coverage required by law, including, but not limited to:</w:t>
      </w:r>
    </w:p>
    <w:p w14:paraId="3598415D" w14:textId="77777777" w:rsidR="00267AA6" w:rsidRDefault="00267AA6" w:rsidP="00074A48">
      <w:pPr>
        <w:pStyle w:val="ListParagraph"/>
        <w:numPr>
          <w:ilvl w:val="1"/>
          <w:numId w:val="14"/>
        </w:numPr>
      </w:pPr>
      <w:r>
        <w:t>workers compensation insurance</w:t>
      </w:r>
    </w:p>
    <w:p w14:paraId="2D10588A" w14:textId="77777777" w:rsidR="00267AA6" w:rsidRDefault="00267AA6" w:rsidP="00074A48">
      <w:pPr>
        <w:pStyle w:val="ListParagraph"/>
        <w:numPr>
          <w:ilvl w:val="1"/>
          <w:numId w:val="14"/>
        </w:numPr>
      </w:pPr>
      <w:r>
        <w:t>public liability insurance for $10 million or more per claim, including voluntary workers insurance cover if volunteers are engaged by the applicant;</w:t>
      </w:r>
    </w:p>
    <w:p w14:paraId="7B3AE3B3" w14:textId="77777777" w:rsidR="00316528" w:rsidRDefault="00316528" w:rsidP="00074A48">
      <w:pPr>
        <w:pStyle w:val="ListParagraph"/>
        <w:numPr>
          <w:ilvl w:val="0"/>
          <w:numId w:val="13"/>
        </w:numPr>
      </w:pPr>
      <w:r w:rsidRPr="00134F6D">
        <w:t>not engage in any marketing or publication of the program until applicant’s selection is finalised by signing the Deed of Grant;</w:t>
      </w:r>
    </w:p>
    <w:p w14:paraId="6721721C" w14:textId="642EFCD6" w:rsidR="00267AA6" w:rsidRDefault="00267AA6" w:rsidP="00074A48">
      <w:pPr>
        <w:pStyle w:val="ListParagraph"/>
        <w:numPr>
          <w:ilvl w:val="0"/>
          <w:numId w:val="13"/>
        </w:numPr>
      </w:pPr>
      <w:r>
        <w:t>include an acknowledgement of the Grant Program as a</w:t>
      </w:r>
      <w:r w:rsidR="00316528">
        <w:t xml:space="preserve">n ACT Government </w:t>
      </w:r>
      <w:r>
        <w:t xml:space="preserve">initiative </w:t>
      </w:r>
      <w:r w:rsidR="00316528">
        <w:t xml:space="preserve">with funding support from the Australian Government under the Skilling Australians Fund </w:t>
      </w:r>
      <w:r>
        <w:t>on all publicity relating to the 2018 ACT Women in Trades Grant Programs, including publications, promotional and advertising materials, public announcements and activities or any products or processes developed as a result of these guidelines;</w:t>
      </w:r>
    </w:p>
    <w:p w14:paraId="3181569B" w14:textId="79A68118" w:rsidR="00267AA6" w:rsidRPr="00134F6D" w:rsidRDefault="00267AA6" w:rsidP="00316528">
      <w:pPr>
        <w:pStyle w:val="ListParagraph"/>
        <w:numPr>
          <w:ilvl w:val="0"/>
          <w:numId w:val="13"/>
        </w:numPr>
      </w:pPr>
      <w:r>
        <w:t>participate in publicity opportunities, including assisting in writing short article/s on the 2018 ACT Grant Programs and achievements for local and national newsletters and reports;</w:t>
      </w:r>
    </w:p>
    <w:p w14:paraId="49E44DF4" w14:textId="520B0698" w:rsidR="00267AA6" w:rsidRPr="00134F6D" w:rsidRDefault="00267AA6" w:rsidP="00074A48">
      <w:pPr>
        <w:pStyle w:val="ListParagraph"/>
        <w:numPr>
          <w:ilvl w:val="0"/>
          <w:numId w:val="13"/>
        </w:numPr>
      </w:pPr>
      <w:r w:rsidRPr="00134F6D">
        <w:t>not engage in any communication about the evaluation and</w:t>
      </w:r>
      <w:r w:rsidR="00316528">
        <w:t>/or</w:t>
      </w:r>
      <w:r w:rsidRPr="00134F6D">
        <w:t xml:space="preserve"> the</w:t>
      </w:r>
      <w:r w:rsidR="00316528">
        <w:t>ir participation in the</w:t>
      </w:r>
      <w:r w:rsidRPr="00134F6D">
        <w:t xml:space="preserve"> selection process of the 2018 ACT Women in Trades Grants Program. Any request for information on the process must be forwarded to the Directorate;  </w:t>
      </w:r>
    </w:p>
    <w:p w14:paraId="7D9529DC" w14:textId="431D44E7" w:rsidR="0089296A" w:rsidRPr="00BB49DB" w:rsidRDefault="0089296A" w:rsidP="00074A48">
      <w:pPr>
        <w:pStyle w:val="ListParagraph"/>
        <w:numPr>
          <w:ilvl w:val="0"/>
          <w:numId w:val="13"/>
        </w:numPr>
      </w:pPr>
      <w:r w:rsidRPr="00BB49DB">
        <w:t>ensure that prior agreement is reached on the nature and content of any events, announcements, promotional material or publicity relating to activities in respect of an agreed project, and that the roles of both Parties will be acknowledged and recognised appropriately;</w:t>
      </w:r>
    </w:p>
    <w:p w14:paraId="568F54B8" w14:textId="08C3C433" w:rsidR="00267AA6" w:rsidRPr="00134F6D" w:rsidRDefault="00267AA6" w:rsidP="00074A48">
      <w:pPr>
        <w:pStyle w:val="ListParagraph"/>
        <w:numPr>
          <w:ilvl w:val="0"/>
          <w:numId w:val="13"/>
        </w:numPr>
      </w:pPr>
      <w:r w:rsidRPr="00134F6D">
        <w:t>all media requests, including media enquiries, media releases, media alerts and requests for comment or interviews and media engagements planned by the applicant on the program and its activities need to be reviewed and approved by the Directorate in consultatio</w:t>
      </w:r>
      <w:r w:rsidR="006D74BD" w:rsidRPr="00134F6D">
        <w:t>n with appropriate line area(s)</w:t>
      </w:r>
      <w:r w:rsidR="0089296A" w:rsidRPr="00134F6D">
        <w:t>;</w:t>
      </w:r>
    </w:p>
    <w:p w14:paraId="53B1F0D5" w14:textId="1AEFC777" w:rsidR="00267AA6" w:rsidRDefault="00267AA6" w:rsidP="00074A48">
      <w:pPr>
        <w:pStyle w:val="ListParagraph"/>
        <w:numPr>
          <w:ilvl w:val="0"/>
          <w:numId w:val="13"/>
        </w:numPr>
      </w:pPr>
      <w:r>
        <w:t xml:space="preserve">agree that the Directorate may visit providers of projects funded under the 2018 ACT </w:t>
      </w:r>
      <w:r w:rsidR="002276E2">
        <w:t xml:space="preserve">Women in Trades </w:t>
      </w:r>
      <w:r>
        <w:t>Grant Program for the purpose of observation and gathering information;</w:t>
      </w:r>
    </w:p>
    <w:p w14:paraId="6C70FAFC" w14:textId="77777777" w:rsidR="00267AA6" w:rsidRDefault="00267AA6" w:rsidP="00074A48">
      <w:pPr>
        <w:pStyle w:val="ListParagraph"/>
        <w:numPr>
          <w:ilvl w:val="0"/>
          <w:numId w:val="13"/>
        </w:numPr>
      </w:pPr>
      <w:r>
        <w:t xml:space="preserve">collect and retain information on the project participants including- </w:t>
      </w:r>
    </w:p>
    <w:p w14:paraId="45598D0F" w14:textId="77777777" w:rsidR="00267AA6" w:rsidRDefault="00267AA6" w:rsidP="00074A48">
      <w:pPr>
        <w:pStyle w:val="ListParagraph"/>
        <w:numPr>
          <w:ilvl w:val="1"/>
          <w:numId w:val="12"/>
        </w:numPr>
      </w:pPr>
      <w:r>
        <w:t>the number of participants by gender, age, employment status at the time of entering the program;</w:t>
      </w:r>
    </w:p>
    <w:p w14:paraId="17854780" w14:textId="77777777" w:rsidR="00267AA6" w:rsidRDefault="00267AA6" w:rsidP="00074A48">
      <w:pPr>
        <w:pStyle w:val="ListParagraph"/>
        <w:numPr>
          <w:ilvl w:val="1"/>
          <w:numId w:val="12"/>
        </w:numPr>
      </w:pPr>
      <w:r>
        <w:t xml:space="preserve">women seeking to return to work after an extended absence; and </w:t>
      </w:r>
    </w:p>
    <w:p w14:paraId="6F14C52D" w14:textId="77777777" w:rsidR="00321A8D" w:rsidRPr="00321A8D" w:rsidRDefault="00267AA6" w:rsidP="00074A48">
      <w:pPr>
        <w:pStyle w:val="ListParagraph"/>
        <w:numPr>
          <w:ilvl w:val="1"/>
          <w:numId w:val="12"/>
        </w:numPr>
      </w:pPr>
      <w:r>
        <w:t>people belonging to a priority groups such as Aboriginal and Torres Strait Islander people, persons with disability, youth (17-25) at risk.</w:t>
      </w:r>
    </w:p>
    <w:p w14:paraId="0ADD3AB9" w14:textId="77777777" w:rsidR="00321A8D" w:rsidRDefault="00321A8D" w:rsidP="00074A48">
      <w:pPr>
        <w:pStyle w:val="Heading3"/>
        <w:numPr>
          <w:ilvl w:val="0"/>
          <w:numId w:val="7"/>
        </w:numPr>
        <w:spacing w:before="100" w:beforeAutospacing="1" w:after="100" w:afterAutospacing="1"/>
        <w:ind w:left="709" w:hanging="349"/>
        <w:contextualSpacing/>
        <w:rPr>
          <w:rFonts w:eastAsia="Times New Roman"/>
          <w:color w:val="482D8C" w:themeColor="background2"/>
        </w:rPr>
      </w:pPr>
      <w:r>
        <w:rPr>
          <w:rFonts w:eastAsia="Times New Roman"/>
          <w:color w:val="482D8C" w:themeColor="background2"/>
        </w:rPr>
        <w:t>Payments</w:t>
      </w:r>
      <w:r w:rsidRPr="00337416">
        <w:rPr>
          <w:rFonts w:eastAsia="Times New Roman"/>
          <w:color w:val="482D8C" w:themeColor="background2"/>
        </w:rPr>
        <w:t xml:space="preserve"> </w:t>
      </w:r>
    </w:p>
    <w:p w14:paraId="642289EC" w14:textId="2316AB66" w:rsidR="00267AA6" w:rsidRDefault="00267AA6" w:rsidP="00267AA6">
      <w:r>
        <w:t>The grants will be payable to the recipient</w:t>
      </w:r>
      <w:r w:rsidR="002276E2">
        <w:t>(s)</w:t>
      </w:r>
      <w:r>
        <w:t xml:space="preserve"> in tranches (every six months), </w:t>
      </w:r>
      <w:r w:rsidR="002373B7">
        <w:t xml:space="preserve">as determined </w:t>
      </w:r>
      <w:r>
        <w:t xml:space="preserve">during contract negotiation. An initial payment will be made available within 30 days of receipt of an invoice to the Directorate, following execution of the Deed. This initial payment will be negotiated during </w:t>
      </w:r>
      <w:r w:rsidR="0064007B">
        <w:t xml:space="preserve">the </w:t>
      </w:r>
      <w:r>
        <w:t>Grant negotiation stage. Once initial payments have been expended, subsequent funding support will reimburse costs already incurred and is payable half-yearly upon successful milestone completion.</w:t>
      </w:r>
    </w:p>
    <w:p w14:paraId="1C11FDDA" w14:textId="65C1D4E3" w:rsidR="00267AA6" w:rsidRDefault="00267AA6" w:rsidP="00267AA6">
      <w:r>
        <w:t xml:space="preserve">Applications must propose </w:t>
      </w:r>
      <w:r w:rsidR="004C304F">
        <w:t xml:space="preserve">the </w:t>
      </w:r>
      <w:r>
        <w:t>amount of initial payment sought, reasonable milestones and corresponding payment schedule broken down by milestones for the duration of the program. This schedule will be finalised during the negotiation process and will be incorporated into the Deed. Progress or completion of milestones must be reported in the half-yearly pro</w:t>
      </w:r>
      <w:r w:rsidR="002276E2">
        <w:t>gress reports (see S</w:t>
      </w:r>
      <w:r>
        <w:t xml:space="preserve">ection </w:t>
      </w:r>
      <w:r w:rsidR="002276E2">
        <w:t xml:space="preserve">10 </w:t>
      </w:r>
      <w:r>
        <w:t>- Reporting and Acquittal of Funds). Each milestone claim will require a written report of activities undertaken and outcomes achieved and must include suitable evidence of completion.</w:t>
      </w:r>
    </w:p>
    <w:p w14:paraId="794442DF" w14:textId="43F51815" w:rsidR="00267AA6" w:rsidRDefault="00267AA6" w:rsidP="00267AA6">
      <w:r>
        <w:lastRenderedPageBreak/>
        <w:t>The proposed date for each milestone must be achievable and the activity measurable. With costs to be reimbursed at the successful completion of milestones</w:t>
      </w:r>
      <w:r w:rsidR="004C304F">
        <w:t>,</w:t>
      </w:r>
      <w:r>
        <w:t xml:space="preserve"> it is advised that applicants be mindful of cash flow when determining milestones. </w:t>
      </w:r>
    </w:p>
    <w:p w14:paraId="4AC66B6F" w14:textId="77777777" w:rsidR="00267AA6" w:rsidRDefault="00267AA6" w:rsidP="00267AA6">
      <w:r>
        <w:t xml:space="preserve">Grantees are required to provide evidence of all expenditure (activities funded under the Grant and matching-contribution if applicable) such as receipts, paid tax invoices and bank statements. The evidence of expenditure must show that payment has been made. This should be supported by photographs, screenshots, diagrams and/or demonstrations where relevant to demonstrate milestone completion. </w:t>
      </w:r>
    </w:p>
    <w:p w14:paraId="39145612" w14:textId="77777777" w:rsidR="00321A8D" w:rsidRPr="00321A8D" w:rsidRDefault="00267AA6" w:rsidP="00267AA6">
      <w:r>
        <w:t>If Grantees have negotiated at the Deed of Grant stage to claim internal wages as part of the grant funding, they are required to submit detailed timesheets. The timesheet must capture the hourly rate and hours worked against the funded activities identified in the Deed of Grant. Grantees cannot claim internal wages as part of the grant funding for activities not listed in the Deed of Grant.</w:t>
      </w:r>
    </w:p>
    <w:p w14:paraId="5C36B4B9" w14:textId="77777777" w:rsidR="00321A8D" w:rsidRDefault="00321A8D" w:rsidP="00074A48">
      <w:pPr>
        <w:pStyle w:val="Heading3"/>
        <w:numPr>
          <w:ilvl w:val="0"/>
          <w:numId w:val="7"/>
        </w:numPr>
        <w:tabs>
          <w:tab w:val="left" w:pos="851"/>
        </w:tabs>
        <w:spacing w:before="100" w:beforeAutospacing="1" w:after="100" w:afterAutospacing="1"/>
        <w:contextualSpacing/>
        <w:rPr>
          <w:rFonts w:eastAsia="Times New Roman"/>
          <w:color w:val="482D8C" w:themeColor="background2"/>
        </w:rPr>
      </w:pPr>
      <w:r>
        <w:rPr>
          <w:rFonts w:eastAsia="Times New Roman"/>
          <w:color w:val="482D8C" w:themeColor="background2"/>
        </w:rPr>
        <w:t>Reporting and Acquittal of Funds</w:t>
      </w:r>
    </w:p>
    <w:p w14:paraId="39C00249" w14:textId="2CA9C2BF" w:rsidR="003303B5" w:rsidRDefault="003303B5" w:rsidP="003303B5">
      <w:r>
        <w:t>Successful applicant</w:t>
      </w:r>
      <w:r w:rsidR="002276E2">
        <w:t>s</w:t>
      </w:r>
      <w:r>
        <w:t xml:space="preserve"> must expend the approved funds on the delivery of the 2018 ACT Women in Trades Grants program funded activity by </w:t>
      </w:r>
      <w:r w:rsidR="004C304F">
        <w:t xml:space="preserve">the </w:t>
      </w:r>
      <w:r>
        <w:t>end of the project period as specified in the Deed. The recipient must complete and submit the following reports to the Directorate via skills@act.gov.au</w:t>
      </w:r>
    </w:p>
    <w:p w14:paraId="162485A3" w14:textId="77777777" w:rsidR="003303B5" w:rsidRDefault="003303B5" w:rsidP="00074A48">
      <w:pPr>
        <w:pStyle w:val="ListParagraph"/>
        <w:numPr>
          <w:ilvl w:val="0"/>
          <w:numId w:val="15"/>
        </w:numPr>
      </w:pPr>
      <w:r>
        <w:t>Half-yearly progress reports in the format provided in the Deed of Grant;</w:t>
      </w:r>
    </w:p>
    <w:p w14:paraId="12276CE6" w14:textId="77777777" w:rsidR="003303B5" w:rsidRDefault="003303B5" w:rsidP="00074A48">
      <w:pPr>
        <w:pStyle w:val="ListParagraph"/>
        <w:numPr>
          <w:ilvl w:val="0"/>
          <w:numId w:val="15"/>
        </w:numPr>
      </w:pPr>
      <w:r>
        <w:t>Half yearly acquittal of grant funds in the format provided in the Deed of Grant;</w:t>
      </w:r>
      <w:r w:rsidR="00417850">
        <w:t xml:space="preserve"> and</w:t>
      </w:r>
    </w:p>
    <w:p w14:paraId="0D896D41" w14:textId="77777777" w:rsidR="003303B5" w:rsidRDefault="003303B5" w:rsidP="00074A48">
      <w:pPr>
        <w:pStyle w:val="ListParagraph"/>
        <w:numPr>
          <w:ilvl w:val="0"/>
          <w:numId w:val="15"/>
        </w:numPr>
      </w:pPr>
      <w:r>
        <w:t>A complete and final project report within 60 days of the project completion.</w:t>
      </w:r>
    </w:p>
    <w:p w14:paraId="6C3104D7" w14:textId="77777777" w:rsidR="00321A8D" w:rsidRPr="00321A8D" w:rsidRDefault="003303B5" w:rsidP="003303B5">
      <w:r>
        <w:t>The format of the report and the acquittal must be as specified in the Deed and the templates provided must be used. Any funds remaining upon completion of the funded activity must be returned to the Directorate.</w:t>
      </w:r>
    </w:p>
    <w:p w14:paraId="2F93AF15" w14:textId="77777777" w:rsidR="00321A8D" w:rsidRDefault="00321A8D" w:rsidP="00074A48">
      <w:pPr>
        <w:pStyle w:val="Heading3"/>
        <w:numPr>
          <w:ilvl w:val="0"/>
          <w:numId w:val="7"/>
        </w:numPr>
        <w:tabs>
          <w:tab w:val="left" w:pos="851"/>
        </w:tabs>
        <w:spacing w:before="100" w:beforeAutospacing="1" w:after="100" w:afterAutospacing="1"/>
        <w:contextualSpacing/>
        <w:rPr>
          <w:rFonts w:eastAsia="Times New Roman"/>
          <w:color w:val="482D8C" w:themeColor="background2"/>
        </w:rPr>
      </w:pPr>
      <w:r>
        <w:rPr>
          <w:rFonts w:eastAsia="Times New Roman"/>
          <w:color w:val="482D8C" w:themeColor="background2"/>
        </w:rPr>
        <w:t>Complaints Process</w:t>
      </w:r>
    </w:p>
    <w:p w14:paraId="4FB07F96" w14:textId="64D30F86" w:rsidR="00321A8D" w:rsidRPr="00321A8D" w:rsidRDefault="00267AA6" w:rsidP="00321A8D">
      <w:r w:rsidRPr="00267AA6">
        <w:t>Grievances or complaints relating to the 2018 ACT</w:t>
      </w:r>
      <w:r w:rsidR="004C304F">
        <w:t xml:space="preserve"> Women in Trades Grants Program</w:t>
      </w:r>
      <w:r w:rsidRPr="00267AA6">
        <w:t xml:space="preserve"> may be lodged by utilising the Chief Minister and Treasury Directorate Complaints Handling Process. Complaints/appeal must be lodged within 5 working days of the publication of final selection. The complaint/appeal must be made in writing and can be emailed to </w:t>
      </w:r>
      <w:hyperlink r:id="rId15" w:history="1">
        <w:r w:rsidR="00433EAC" w:rsidRPr="00CA3D7D">
          <w:rPr>
            <w:rStyle w:val="Hyperlink"/>
          </w:rPr>
          <w:t>CMTEDDCorporate@act.gov.au</w:t>
        </w:r>
      </w:hyperlink>
      <w:r w:rsidR="00433EAC">
        <w:t>.</w:t>
      </w:r>
      <w:r w:rsidRPr="00267AA6">
        <w:t xml:space="preserve"> The Delegate will review the complaint/appeal within 15 calendar days and inform the applicant of the final decision. This decision will be final and cannot be challenged.</w:t>
      </w:r>
    </w:p>
    <w:p w14:paraId="70D6E4D8" w14:textId="77777777" w:rsidR="00731AE2" w:rsidRDefault="00731AE2" w:rsidP="00AE6BD7">
      <w:pPr>
        <w:spacing w:after="0" w:line="240" w:lineRule="auto"/>
        <w:rPr>
          <w:rFonts w:ascii="Montserrat" w:eastAsia="Times New Roman" w:hAnsi="Montserrat"/>
          <w:caps/>
          <w:color w:val="F79646"/>
          <w:sz w:val="48"/>
          <w:szCs w:val="48"/>
        </w:rPr>
      </w:pPr>
    </w:p>
    <w:p w14:paraId="7F1629AD" w14:textId="77777777" w:rsidR="00AE6BD7" w:rsidRDefault="00AE6BD7" w:rsidP="00731AE2">
      <w:pPr>
        <w:pStyle w:val="ListParagraph"/>
        <w:rPr>
          <w:rFonts w:ascii="Times New Roman" w:hAnsi="Times New Roman"/>
          <w:sz w:val="24"/>
          <w:szCs w:val="24"/>
        </w:rPr>
      </w:pPr>
    </w:p>
    <w:p w14:paraId="1049D1C1" w14:textId="6F2819FF" w:rsidR="003B13F4" w:rsidRDefault="003B13F4" w:rsidP="00635C80">
      <w:pPr>
        <w:pStyle w:val="Heading2"/>
      </w:pPr>
      <w:bookmarkStart w:id="3" w:name="_Toc457377884"/>
      <w:bookmarkEnd w:id="3"/>
    </w:p>
    <w:p w14:paraId="49D7E7BE" w14:textId="6F812044" w:rsidR="00860B3E" w:rsidRDefault="00860B3E" w:rsidP="00030790">
      <w:pPr>
        <w:spacing w:before="240"/>
      </w:pPr>
      <w:r>
        <w:br w:type="page"/>
      </w:r>
    </w:p>
    <w:p w14:paraId="7AE240DB" w14:textId="77777777" w:rsidR="00A56436" w:rsidRDefault="006D2273" w:rsidP="00860B3E">
      <w:pPr>
        <w:spacing w:line="276" w:lineRule="auto"/>
      </w:pPr>
      <w:r>
        <w:rPr>
          <w:noProof/>
        </w:rPr>
        <w:lastRenderedPageBreak/>
        <w:drawing>
          <wp:anchor distT="0" distB="0" distL="114300" distR="114300" simplePos="0" relativeHeight="251681792" behindDoc="1" locked="0" layoutInCell="1" allowOverlap="1" wp14:anchorId="58E485FB" wp14:editId="7A78EE11">
            <wp:simplePos x="0" y="0"/>
            <wp:positionH relativeFrom="page">
              <wp:posOffset>-128270</wp:posOffset>
            </wp:positionH>
            <wp:positionV relativeFrom="page">
              <wp:posOffset>137160</wp:posOffset>
            </wp:positionV>
            <wp:extent cx="7628332" cy="10790399"/>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ts ACT-cover background.jpg"/>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7628332" cy="10790399"/>
                    </a:xfrm>
                    <a:prstGeom prst="rect">
                      <a:avLst/>
                    </a:prstGeom>
                    <a:noFill/>
                  </pic:spPr>
                </pic:pic>
              </a:graphicData>
            </a:graphic>
          </wp:anchor>
        </w:drawing>
      </w:r>
    </w:p>
    <w:p w14:paraId="54DF13C8" w14:textId="77777777" w:rsidR="00B70B52" w:rsidRDefault="00B70B52">
      <w:pPr>
        <w:spacing w:line="276" w:lineRule="auto"/>
        <w:rPr>
          <w:rFonts w:eastAsia="TimesNewRomanPS-ItalicMT"/>
        </w:rPr>
      </w:pPr>
    </w:p>
    <w:p w14:paraId="0D06D42C" w14:textId="77777777" w:rsidR="007903B1" w:rsidRDefault="007903B1">
      <w:pPr>
        <w:spacing w:line="276" w:lineRule="auto"/>
        <w:rPr>
          <w:rFonts w:eastAsia="TimesNewRomanPS-ItalicMT"/>
        </w:rPr>
      </w:pPr>
    </w:p>
    <w:p w14:paraId="5A0660C4" w14:textId="77777777" w:rsidR="007D5985" w:rsidRPr="003B2710" w:rsidRDefault="007D5985" w:rsidP="007D5985">
      <w:pPr>
        <w:rPr>
          <w:rFonts w:eastAsia="TimesNewRomanPS-ItalicMT"/>
        </w:rPr>
      </w:pPr>
    </w:p>
    <w:p w14:paraId="41BB35AA" w14:textId="116EC240" w:rsidR="00632F54" w:rsidRPr="00632F54" w:rsidRDefault="001903FC" w:rsidP="00632F54">
      <w:pPr>
        <w:pStyle w:val="Heading2"/>
      </w:pPr>
      <w:r>
        <w:rPr>
          <w:noProof/>
        </w:rPr>
        <mc:AlternateContent>
          <mc:Choice Requires="wps">
            <w:drawing>
              <wp:anchor distT="0" distB="0" distL="114300" distR="114300" simplePos="0" relativeHeight="251661312" behindDoc="0" locked="0" layoutInCell="1" allowOverlap="1" wp14:anchorId="6EDAA58A" wp14:editId="1F3EB7B4">
                <wp:simplePos x="0" y="0"/>
                <wp:positionH relativeFrom="column">
                  <wp:posOffset>-1270</wp:posOffset>
                </wp:positionH>
                <wp:positionV relativeFrom="page">
                  <wp:posOffset>8999220</wp:posOffset>
                </wp:positionV>
                <wp:extent cx="6309360" cy="916940"/>
                <wp:effectExtent l="0" t="0" r="0" b="0"/>
                <wp:wrapNone/>
                <wp:docPr id="1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9360" cy="916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2CD839" w14:textId="44E8CF8D" w:rsidR="00246AAC" w:rsidRPr="003D4DBC" w:rsidRDefault="001903FC" w:rsidP="000016B9">
                            <w:pPr>
                              <w:pStyle w:val="Intro"/>
                              <w:rPr>
                                <w:color w:val="FFFFFF" w:themeColor="background1"/>
                              </w:rPr>
                            </w:pPr>
                            <w:r>
                              <w:rPr>
                                <w:color w:val="FFFFFF" w:themeColor="background1"/>
                              </w:rPr>
                              <w:t>Skills Canberra</w:t>
                            </w:r>
                            <w:r w:rsidR="00246AAC" w:rsidRPr="003D4DBC">
                              <w:rPr>
                                <w:color w:val="FFFFFF" w:themeColor="background1"/>
                              </w:rPr>
                              <w:br/>
                            </w:r>
                            <w:r>
                              <w:rPr>
                                <w:color w:val="FFFFFF" w:themeColor="background1"/>
                              </w:rPr>
                              <w:t>Chief Minister, Treasury and Economic Development Directorate</w:t>
                            </w:r>
                          </w:p>
                          <w:p w14:paraId="086FDA60" w14:textId="7287A321" w:rsidR="00246AAC" w:rsidRPr="003D4DBC" w:rsidRDefault="001903FC" w:rsidP="000016B9">
                            <w:pPr>
                              <w:pStyle w:val="Intro"/>
                              <w:rPr>
                                <w:color w:val="FFFFFF" w:themeColor="background1"/>
                              </w:rPr>
                            </w:pPr>
                            <w:r>
                              <w:rPr>
                                <w:color w:val="FFFFFF" w:themeColor="background1"/>
                              </w:rPr>
                              <w:t>November 2018</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EDAA58A" id="Text Box 7" o:spid="_x0000_s1028" type="#_x0000_t202" style="position:absolute;margin-left:-.1pt;margin-top:708.6pt;width:496.8pt;height:72.2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" filled="f" stroked="f">
                <v:textbox style="mso-fit-shape-to-text:t">
                  <w:txbxContent>
                    <w:p w14:paraId="392CD839" w14:textId="44E8CF8D" w:rsidR="00246AAC" w:rsidRPr="003D4DBC" w:rsidRDefault="001903FC" w:rsidP="000016B9">
                      <w:pPr>
                        <w:pStyle w:val="Intro"/>
                        <w:rPr>
                          <w:color w:val="FFFFFF" w:themeColor="background1"/>
                        </w:rPr>
                      </w:pPr>
                      <w:r>
                        <w:rPr>
                          <w:color w:val="FFFFFF" w:themeColor="background1"/>
                        </w:rPr>
                        <w:t>Skills Canberra</w:t>
                      </w:r>
                      <w:r w:rsidR="00246AAC" w:rsidRPr="003D4DBC">
                        <w:rPr>
                          <w:color w:val="FFFFFF" w:themeColor="background1"/>
                        </w:rPr>
                        <w:br/>
                      </w:r>
                      <w:r>
                        <w:rPr>
                          <w:color w:val="FFFFFF" w:themeColor="background1"/>
                        </w:rPr>
                        <w:t>Chief Minister, Treasury and Economic Development Directorate</w:t>
                      </w:r>
                    </w:p>
                    <w:p w14:paraId="086FDA60" w14:textId="7287A321" w:rsidR="00246AAC" w:rsidRPr="003D4DBC" w:rsidRDefault="001903FC" w:rsidP="000016B9">
                      <w:pPr>
                        <w:pStyle w:val="Intro"/>
                        <w:rPr>
                          <w:color w:val="FFFFFF" w:themeColor="background1"/>
                        </w:rPr>
                      </w:pPr>
                      <w:r>
                        <w:rPr>
                          <w:color w:val="FFFFFF" w:themeColor="background1"/>
                        </w:rPr>
                        <w:t>November 2018</w:t>
                      </w:r>
                    </w:p>
                  </w:txbxContent>
                </v:textbox>
                <w10:wrap anchory="page"/>
              </v:shape>
            </w:pict>
          </mc:Fallback>
        </mc:AlternateContent>
      </w:r>
      <w:r w:rsidR="00496C0F">
        <w:rPr>
          <w:noProof/>
        </w:rPr>
        <w:drawing>
          <wp:anchor distT="0" distB="0" distL="114300" distR="114300" simplePos="0" relativeHeight="251658240" behindDoc="0" locked="0" layoutInCell="1" allowOverlap="1" wp14:anchorId="36C43EB0" wp14:editId="611ED489">
            <wp:simplePos x="0" y="0"/>
            <wp:positionH relativeFrom="margin">
              <wp:posOffset>5715</wp:posOffset>
            </wp:positionH>
            <wp:positionV relativeFrom="page">
              <wp:posOffset>7205980</wp:posOffset>
            </wp:positionV>
            <wp:extent cx="1413510" cy="721995"/>
            <wp:effectExtent l="19050" t="0" r="0" b="0"/>
            <wp:wrapSquare wrapText="bothSides"/>
            <wp:docPr id="8" name="Picture 4" descr="ACTGov_inline_black.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CTGov_inline_black.wmf"/>
                    <pic:cNvPicPr>
                      <a:picLocks noChangeAspect="1" noChangeArrowheads="1"/>
                    </pic:cNvPicPr>
                  </pic:nvPicPr>
                  <pic:blipFill>
                    <a:blip r:embed="rId12" cstate="print"/>
                    <a:stretch>
                      <a:fillRect/>
                    </a:stretch>
                  </pic:blipFill>
                  <pic:spPr bwMode="auto">
                    <a:xfrm>
                      <a:off x="0" y="0"/>
                      <a:ext cx="1413510" cy="721995"/>
                    </a:xfrm>
                    <a:prstGeom prst="rect">
                      <a:avLst/>
                    </a:prstGeom>
                    <a:noFill/>
                  </pic:spPr>
                </pic:pic>
              </a:graphicData>
            </a:graphic>
          </wp:anchor>
        </w:drawing>
      </w:r>
      <w:r w:rsidR="00496C0F">
        <w:t xml:space="preserve"> </w:t>
      </w:r>
    </w:p>
    <w:sectPr w:rsidR="00632F54" w:rsidRPr="00632F54" w:rsidSect="005115E8">
      <w:headerReference w:type="default" r:id="rId17"/>
      <w:footerReference w:type="default" r:id="rId18"/>
      <w:type w:val="continuous"/>
      <w:pgSz w:w="11906" w:h="16838" w:code="9"/>
      <w:pgMar w:top="1253" w:right="1418" w:bottom="1701" w:left="1418" w:header="56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B6B6A6" w14:textId="77777777" w:rsidR="00337416" w:rsidRDefault="00337416" w:rsidP="00665B9F">
      <w:pPr>
        <w:spacing w:after="0" w:line="240" w:lineRule="auto"/>
      </w:pPr>
      <w:r>
        <w:separator/>
      </w:r>
    </w:p>
  </w:endnote>
  <w:endnote w:type="continuationSeparator" w:id="0">
    <w:p w14:paraId="363600A0" w14:textId="77777777" w:rsidR="00337416" w:rsidRDefault="00337416" w:rsidP="00665B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ource Sans Pro">
    <w:panose1 w:val="020B0503030403020204"/>
    <w:charset w:val="00"/>
    <w:family w:val="swiss"/>
    <w:notTrueType/>
    <w:pitch w:val="variable"/>
    <w:sig w:usb0="600002F7" w:usb1="02000001" w:usb2="00000000" w:usb3="00000000" w:csb0="0000019F" w:csb1="00000000"/>
  </w:font>
  <w:font w:name="Montserrat Light">
    <w:panose1 w:val="000004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Montserrat">
    <w:panose1 w:val="00000500000000000000"/>
    <w:charset w:val="00"/>
    <w:family w:val="auto"/>
    <w:pitch w:val="variable"/>
    <w:sig w:usb0="2000020F" w:usb1="00000003" w:usb2="00000000" w:usb3="00000000" w:csb0="00000197" w:csb1="00000000"/>
  </w:font>
  <w:font w:name="TimesNewRomanPS-ItalicMT">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4CF895" w14:textId="3F4EC42E" w:rsidR="00246AAC" w:rsidRPr="000A6B63" w:rsidRDefault="00246AAC" w:rsidP="00731AE2">
    <w:pPr>
      <w:pStyle w:val="Intro"/>
      <w:tabs>
        <w:tab w:val="right" w:pos="8789"/>
        <w:tab w:val="right" w:pos="9070"/>
      </w:tabs>
    </w:pPr>
    <w:r>
      <w:rPr>
        <w:noProof/>
        <w:sz w:val="18"/>
        <w:szCs w:val="18"/>
      </w:rPr>
      <mc:AlternateContent>
        <mc:Choice Requires="wps">
          <w:drawing>
            <wp:anchor distT="0" distB="0" distL="114300" distR="114300" simplePos="0" relativeHeight="251656704" behindDoc="0" locked="0" layoutInCell="1" allowOverlap="1" wp14:anchorId="39761F77" wp14:editId="03A1FA77">
              <wp:simplePos x="0" y="0"/>
              <wp:positionH relativeFrom="column">
                <wp:posOffset>-900430</wp:posOffset>
              </wp:positionH>
              <wp:positionV relativeFrom="paragraph">
                <wp:posOffset>-179705</wp:posOffset>
              </wp:positionV>
              <wp:extent cx="7560945" cy="0"/>
              <wp:effectExtent l="9525" t="10160" r="11430" b="8890"/>
              <wp:wrapNone/>
              <wp:docPr id="1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609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BD5CF67" id="_x0000_t32" coordsize="21600,21600" o:spt="32" o:oned="t" path="m,l21600,21600e" filled="f">
              <v:path arrowok="t" fillok="f" o:connecttype="none"/>
              <o:lock v:ext="edit" shapetype="t"/>
            </v:shapetype>
            <v:shape id="AutoShape 6" o:spid="_x0000_s1026" type="#_x0000_t32" style="position:absolute;margin-left:-70.9pt;margin-top:-14.15pt;width:595.3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i/+HwIAADwEAAAOAAAAZHJzL2Uyb0RvYy54bWysU02P2jAQvVfqf7B8hyQ0s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"/>
          </w:pict>
        </mc:Fallback>
      </mc:AlternateContent>
    </w:r>
    <w:r w:rsidR="003C7FAC">
      <w:rPr>
        <w:sz w:val="18"/>
        <w:szCs w:val="18"/>
      </w:rPr>
      <w:t>Application Guidelines: 2018 ACT Women in Trades Grants Program – Round Two</w:t>
    </w:r>
    <w:r>
      <w:tab/>
    </w:r>
    <w:r w:rsidRPr="00B02277">
      <w:rPr>
        <w:sz w:val="20"/>
        <w:szCs w:val="20"/>
      </w:rPr>
      <w:fldChar w:fldCharType="begin"/>
    </w:r>
    <w:r w:rsidRPr="00B02277">
      <w:rPr>
        <w:sz w:val="20"/>
        <w:szCs w:val="20"/>
      </w:rPr>
      <w:instrText xml:space="preserve"> PAGE   \* MERGEFORMAT </w:instrText>
    </w:r>
    <w:r w:rsidRPr="00B02277">
      <w:rPr>
        <w:sz w:val="20"/>
        <w:szCs w:val="20"/>
      </w:rPr>
      <w:fldChar w:fldCharType="separate"/>
    </w:r>
    <w:r w:rsidR="00056804">
      <w:rPr>
        <w:noProof/>
        <w:sz w:val="20"/>
        <w:szCs w:val="20"/>
      </w:rPr>
      <w:t>1</w:t>
    </w:r>
    <w:r w:rsidRPr="00B02277">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C367BD" w14:textId="77777777" w:rsidR="00337416" w:rsidRDefault="00337416" w:rsidP="00665B9F">
      <w:pPr>
        <w:spacing w:after="0" w:line="240" w:lineRule="auto"/>
      </w:pPr>
      <w:r>
        <w:separator/>
      </w:r>
    </w:p>
  </w:footnote>
  <w:footnote w:type="continuationSeparator" w:id="0">
    <w:p w14:paraId="1D2EBF12" w14:textId="77777777" w:rsidR="00337416" w:rsidRDefault="00337416" w:rsidP="00665B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B27A46" w14:textId="0F1A69E2" w:rsidR="00246AAC" w:rsidRPr="006046FF" w:rsidRDefault="00246AAC" w:rsidP="002009BA">
    <w:pPr>
      <w:pStyle w:val="Intro"/>
      <w:rPr>
        <w:b/>
        <w:caps/>
        <w:color w:val="000000" w:themeColor="text1"/>
      </w:rPr>
    </w:pPr>
    <w:r w:rsidRPr="006046FF">
      <w:rPr>
        <w:b/>
        <w:caps/>
        <w:noProof/>
        <w:color w:val="000000" w:themeColor="text1"/>
      </w:rPr>
      <w:drawing>
        <wp:anchor distT="0" distB="0" distL="114300" distR="114300" simplePos="0" relativeHeight="251657728" behindDoc="1" locked="0" layoutInCell="1" allowOverlap="1" wp14:anchorId="3EAC07B0" wp14:editId="68AFC06E">
          <wp:simplePos x="0" y="0"/>
          <wp:positionH relativeFrom="page">
            <wp:posOffset>534035</wp:posOffset>
          </wp:positionH>
          <wp:positionV relativeFrom="page">
            <wp:posOffset>-584200</wp:posOffset>
          </wp:positionV>
          <wp:extent cx="7632000" cy="903600"/>
          <wp:effectExtent l="38100" t="0" r="7620" b="640080"/>
          <wp:wrapNone/>
          <wp:docPr id="14" name="Picture 0" descr="Arts ACT-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ts ACT-header.jpg"/>
                  <pic:cNvPicPr/>
                </pic:nvPicPr>
                <pic:blipFill>
                  <a:blip r:embed="rId1"/>
                  <a:stretch>
                    <a:fillRect/>
                  </a:stretch>
                </pic:blipFill>
                <pic:spPr>
                  <a:xfrm rot="600000">
                    <a:off x="0" y="0"/>
                    <a:ext cx="7632000" cy="903600"/>
                  </a:xfrm>
                  <a:prstGeom prst="rect">
                    <a:avLst/>
                  </a:prstGeom>
                </pic:spPr>
              </pic:pic>
            </a:graphicData>
          </a:graphic>
          <wp14:sizeRelH relativeFrom="margin">
            <wp14:pctWidth>0</wp14:pctWidth>
          </wp14:sizeRelH>
          <wp14:sizeRelV relativeFrom="margin">
            <wp14:pctHeight>0</wp14:pctHeight>
          </wp14:sizeRelV>
        </wp:anchor>
      </w:drawing>
    </w:r>
    <w:r>
      <w:rPr>
        <w:b/>
        <w:caps/>
        <w:color w:val="000000" w:themeColor="text1"/>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04B6373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C45931"/>
    <w:multiLevelType w:val="hybridMultilevel"/>
    <w:tmpl w:val="66C296DA"/>
    <w:lvl w:ilvl="0" w:tplc="35C2D6D6">
      <w:start w:val="1"/>
      <w:numFmt w:val="bullet"/>
      <w:lvlText w:val=""/>
      <w:lvlJc w:val="left"/>
      <w:pPr>
        <w:ind w:left="720" w:hanging="360"/>
      </w:pPr>
      <w:rPr>
        <w:rFonts w:ascii="Symbol" w:hAnsi="Symbol" w:hint="default"/>
      </w:rPr>
    </w:lvl>
    <w:lvl w:ilvl="1" w:tplc="C91267FE">
      <w:numFmt w:val="bullet"/>
      <w:lvlText w:val=""/>
      <w:lvlJc w:val="left"/>
      <w:pPr>
        <w:ind w:left="1440" w:hanging="360"/>
      </w:pPr>
      <w:rPr>
        <w:rFonts w:ascii="Wingdings" w:eastAsiaTheme="minorHAnsi" w:hAnsi="Wingdings" w:cs="Times New Roman"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85D1507"/>
    <w:multiLevelType w:val="hybridMultilevel"/>
    <w:tmpl w:val="B21C4B46"/>
    <w:lvl w:ilvl="0" w:tplc="35C2D6D6">
      <w:start w:val="1"/>
      <w:numFmt w:val="bullet"/>
      <w:lvlText w:val=""/>
      <w:lvlJc w:val="left"/>
      <w:pPr>
        <w:ind w:left="720" w:hanging="360"/>
      </w:pPr>
      <w:rPr>
        <w:rFonts w:ascii="Symbol" w:hAnsi="Symbol" w:hint="default"/>
      </w:rPr>
    </w:lvl>
    <w:lvl w:ilvl="1" w:tplc="0C090005">
      <w:start w:val="1"/>
      <w:numFmt w:val="bullet"/>
      <w:lvlText w:val=""/>
      <w:lvlJc w:val="left"/>
      <w:pPr>
        <w:ind w:left="1440" w:hanging="360"/>
      </w:pPr>
      <w:rPr>
        <w:rFonts w:ascii="Wingdings" w:hAnsi="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5841167"/>
    <w:multiLevelType w:val="hybridMultilevel"/>
    <w:tmpl w:val="C4520C5A"/>
    <w:lvl w:ilvl="0" w:tplc="35C2D6D6">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C0230EB"/>
    <w:multiLevelType w:val="hybridMultilevel"/>
    <w:tmpl w:val="C2585CD6"/>
    <w:lvl w:ilvl="0" w:tplc="0C090005">
      <w:start w:val="1"/>
      <w:numFmt w:val="bullet"/>
      <w:lvlText w:val=""/>
      <w:lvlJc w:val="left"/>
      <w:pPr>
        <w:ind w:left="720" w:hanging="360"/>
      </w:pPr>
      <w:rPr>
        <w:rFonts w:ascii="Wingdings" w:hAnsi="Wingdings" w:hint="default"/>
      </w:rPr>
    </w:lvl>
    <w:lvl w:ilvl="1" w:tplc="15E41F9E">
      <w:numFmt w:val="bullet"/>
      <w:lvlText w:val="•"/>
      <w:lvlJc w:val="left"/>
      <w:pPr>
        <w:ind w:left="1644" w:hanging="564"/>
      </w:pPr>
      <w:rPr>
        <w:rFonts w:ascii="Calibri" w:eastAsiaTheme="minorHAnsi" w:hAnsi="Calibri" w:cs="Times New Roman"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2490319"/>
    <w:multiLevelType w:val="hybridMultilevel"/>
    <w:tmpl w:val="1EFABEEA"/>
    <w:lvl w:ilvl="0" w:tplc="0C090005">
      <w:start w:val="1"/>
      <w:numFmt w:val="bullet"/>
      <w:lvlText w:val=""/>
      <w:lvlJc w:val="left"/>
      <w:pPr>
        <w:ind w:left="720" w:hanging="360"/>
      </w:pPr>
      <w:rPr>
        <w:rFonts w:ascii="Wingdings" w:hAnsi="Wingdings" w:hint="default"/>
      </w:rPr>
    </w:lvl>
    <w:lvl w:ilvl="1" w:tplc="0C090005">
      <w:start w:val="1"/>
      <w:numFmt w:val="bullet"/>
      <w:lvlText w:val=""/>
      <w:lvlJc w:val="left"/>
      <w:pPr>
        <w:ind w:left="1440" w:hanging="360"/>
      </w:pPr>
      <w:rPr>
        <w:rFonts w:ascii="Wingdings" w:hAnsi="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76A38C9"/>
    <w:multiLevelType w:val="hybridMultilevel"/>
    <w:tmpl w:val="6D2455A2"/>
    <w:lvl w:ilvl="0" w:tplc="A90EFF1A">
      <w:start w:val="1"/>
      <w:numFmt w:val="decimal"/>
      <w:pStyle w:val="Noteslist"/>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15:restartNumberingAfterBreak="0">
    <w:nsid w:val="2A523C07"/>
    <w:multiLevelType w:val="hybridMultilevel"/>
    <w:tmpl w:val="223A9668"/>
    <w:lvl w:ilvl="0" w:tplc="240E7054">
      <w:numFmt w:val="bullet"/>
      <w:lvlText w:val="-"/>
      <w:lvlJc w:val="left"/>
      <w:pPr>
        <w:ind w:left="720" w:hanging="360"/>
      </w:pPr>
      <w:rPr>
        <w:rFonts w:ascii="Calibri" w:eastAsia="Times New Roman"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22622B8"/>
    <w:multiLevelType w:val="hybridMultilevel"/>
    <w:tmpl w:val="2BDC107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42B0AFB"/>
    <w:multiLevelType w:val="hybridMultilevel"/>
    <w:tmpl w:val="E99E1590"/>
    <w:lvl w:ilvl="0" w:tplc="35C2D6D6">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4663314"/>
    <w:multiLevelType w:val="hybridMultilevel"/>
    <w:tmpl w:val="949E1C2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465A212B"/>
    <w:multiLevelType w:val="hybridMultilevel"/>
    <w:tmpl w:val="09D6AB0C"/>
    <w:lvl w:ilvl="0" w:tplc="6F3CF378">
      <w:start w:val="1"/>
      <w:numFmt w:val="bullet"/>
      <w:pStyle w:val="Bullet3"/>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2" w15:restartNumberingAfterBreak="0">
    <w:nsid w:val="51881B86"/>
    <w:multiLevelType w:val="hybridMultilevel"/>
    <w:tmpl w:val="10A28E20"/>
    <w:lvl w:ilvl="0" w:tplc="35C2D6D6">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31A54FB"/>
    <w:multiLevelType w:val="hybridMultilevel"/>
    <w:tmpl w:val="EFEE4814"/>
    <w:lvl w:ilvl="0" w:tplc="29061554">
      <w:start w:val="1"/>
      <w:numFmt w:val="decimal"/>
      <w:pStyle w:val="bulletnumbers"/>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568F771F"/>
    <w:multiLevelType w:val="multilevel"/>
    <w:tmpl w:val="341A4B9E"/>
    <w:lvl w:ilvl="0">
      <w:start w:val="1"/>
      <w:numFmt w:val="bullet"/>
      <w:pStyle w:val="Bullet2"/>
      <w:lvlText w:val=""/>
      <w:lvlJc w:val="left"/>
      <w:pPr>
        <w:ind w:left="714" w:hanging="357"/>
      </w:pPr>
      <w:rPr>
        <w:rFonts w:ascii="Symbol" w:hAnsi="Symbol" w:hint="default"/>
      </w:rPr>
    </w:lvl>
    <w:lvl w:ilvl="1">
      <w:start w:val="1"/>
      <w:numFmt w:val="bullet"/>
      <w:lvlText w:val="o"/>
      <w:lvlJc w:val="left"/>
      <w:pPr>
        <w:ind w:left="1224" w:hanging="357"/>
      </w:pPr>
      <w:rPr>
        <w:rFonts w:ascii="Courier New" w:hAnsi="Courier New" w:hint="default"/>
      </w:rPr>
    </w:lvl>
    <w:lvl w:ilvl="2">
      <w:start w:val="1"/>
      <w:numFmt w:val="bullet"/>
      <w:lvlText w:val=""/>
      <w:lvlJc w:val="left"/>
      <w:pPr>
        <w:ind w:left="1734" w:hanging="357"/>
      </w:pPr>
      <w:rPr>
        <w:rFonts w:ascii="Wingdings" w:hAnsi="Wingdings" w:hint="default"/>
      </w:rPr>
    </w:lvl>
    <w:lvl w:ilvl="3">
      <w:start w:val="1"/>
      <w:numFmt w:val="bullet"/>
      <w:lvlText w:val=""/>
      <w:lvlJc w:val="left"/>
      <w:pPr>
        <w:ind w:left="2244" w:hanging="357"/>
      </w:pPr>
      <w:rPr>
        <w:rFonts w:ascii="Symbol" w:hAnsi="Symbol" w:hint="default"/>
      </w:rPr>
    </w:lvl>
    <w:lvl w:ilvl="4">
      <w:start w:val="1"/>
      <w:numFmt w:val="bullet"/>
      <w:lvlText w:val="o"/>
      <w:lvlJc w:val="left"/>
      <w:pPr>
        <w:ind w:left="2754" w:hanging="357"/>
      </w:pPr>
      <w:rPr>
        <w:rFonts w:ascii="Courier New" w:hAnsi="Courier New" w:cs="Courier New" w:hint="default"/>
      </w:rPr>
    </w:lvl>
    <w:lvl w:ilvl="5">
      <w:start w:val="1"/>
      <w:numFmt w:val="bullet"/>
      <w:lvlText w:val=""/>
      <w:lvlJc w:val="left"/>
      <w:pPr>
        <w:ind w:left="3264" w:hanging="357"/>
      </w:pPr>
      <w:rPr>
        <w:rFonts w:ascii="Wingdings" w:hAnsi="Wingdings" w:hint="default"/>
      </w:rPr>
    </w:lvl>
    <w:lvl w:ilvl="6">
      <w:start w:val="1"/>
      <w:numFmt w:val="bullet"/>
      <w:lvlText w:val=""/>
      <w:lvlJc w:val="left"/>
      <w:pPr>
        <w:ind w:left="3774" w:hanging="357"/>
      </w:pPr>
      <w:rPr>
        <w:rFonts w:ascii="Symbol" w:hAnsi="Symbol" w:hint="default"/>
      </w:rPr>
    </w:lvl>
    <w:lvl w:ilvl="7">
      <w:start w:val="1"/>
      <w:numFmt w:val="bullet"/>
      <w:lvlText w:val="o"/>
      <w:lvlJc w:val="left"/>
      <w:pPr>
        <w:ind w:left="4284" w:hanging="357"/>
      </w:pPr>
      <w:rPr>
        <w:rFonts w:ascii="Courier New" w:hAnsi="Courier New" w:cs="Courier New" w:hint="default"/>
      </w:rPr>
    </w:lvl>
    <w:lvl w:ilvl="8">
      <w:start w:val="1"/>
      <w:numFmt w:val="bullet"/>
      <w:lvlText w:val=""/>
      <w:lvlJc w:val="left"/>
      <w:pPr>
        <w:ind w:left="4794" w:hanging="357"/>
      </w:pPr>
      <w:rPr>
        <w:rFonts w:ascii="Wingdings" w:hAnsi="Wingdings" w:hint="default"/>
      </w:rPr>
    </w:lvl>
  </w:abstractNum>
  <w:abstractNum w:abstractNumId="15" w15:restartNumberingAfterBreak="0">
    <w:nsid w:val="61233D5D"/>
    <w:multiLevelType w:val="hybridMultilevel"/>
    <w:tmpl w:val="4868212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679D420E"/>
    <w:multiLevelType w:val="hybridMultilevel"/>
    <w:tmpl w:val="695EDD6C"/>
    <w:lvl w:ilvl="0" w:tplc="1F80BF74">
      <w:start w:val="1"/>
      <w:numFmt w:val="bullet"/>
      <w:pStyle w:val="Bullet1"/>
      <w:lvlText w:val=""/>
      <w:lvlJc w:val="left"/>
      <w:pPr>
        <w:ind w:left="360" w:hanging="360"/>
      </w:pPr>
      <w:rPr>
        <w:rFonts w:ascii="Symbol" w:hAnsi="Symbol" w:hint="default"/>
        <w:sz w:val="24"/>
      </w:rPr>
    </w:lvl>
    <w:lvl w:ilvl="1" w:tplc="0C090019">
      <w:start w:val="1"/>
      <w:numFmt w:val="bullet"/>
      <w:lvlText w:val="o"/>
      <w:lvlJc w:val="left"/>
      <w:pPr>
        <w:tabs>
          <w:tab w:val="num" w:pos="1800"/>
        </w:tabs>
        <w:ind w:left="1800" w:hanging="360"/>
      </w:pPr>
      <w:rPr>
        <w:rFonts w:ascii="Courier New" w:hAnsi="Courier New" w:hint="default"/>
      </w:rPr>
    </w:lvl>
    <w:lvl w:ilvl="2" w:tplc="0C09001B">
      <w:start w:val="1"/>
      <w:numFmt w:val="bullet"/>
      <w:lvlText w:val=""/>
      <w:lvlJc w:val="left"/>
      <w:pPr>
        <w:tabs>
          <w:tab w:val="num" w:pos="2520"/>
        </w:tabs>
        <w:ind w:left="2520" w:hanging="360"/>
      </w:pPr>
      <w:rPr>
        <w:rFonts w:ascii="Wingdings" w:hAnsi="Wingdings" w:hint="default"/>
      </w:rPr>
    </w:lvl>
    <w:lvl w:ilvl="3" w:tplc="0C09000F">
      <w:start w:val="1"/>
      <w:numFmt w:val="bullet"/>
      <w:lvlText w:val=""/>
      <w:lvlJc w:val="left"/>
      <w:pPr>
        <w:tabs>
          <w:tab w:val="num" w:pos="3240"/>
        </w:tabs>
        <w:ind w:left="3240" w:hanging="360"/>
      </w:pPr>
      <w:rPr>
        <w:rFonts w:ascii="Symbol" w:hAnsi="Symbol" w:hint="default"/>
      </w:rPr>
    </w:lvl>
    <w:lvl w:ilvl="4" w:tplc="0C090019">
      <w:start w:val="1"/>
      <w:numFmt w:val="bullet"/>
      <w:lvlText w:val="o"/>
      <w:lvlJc w:val="left"/>
      <w:pPr>
        <w:tabs>
          <w:tab w:val="num" w:pos="3960"/>
        </w:tabs>
        <w:ind w:left="3960" w:hanging="360"/>
      </w:pPr>
      <w:rPr>
        <w:rFonts w:ascii="Courier New" w:hAnsi="Courier New" w:hint="default"/>
      </w:rPr>
    </w:lvl>
    <w:lvl w:ilvl="5" w:tplc="0C09001B">
      <w:start w:val="1"/>
      <w:numFmt w:val="bullet"/>
      <w:lvlText w:val=""/>
      <w:lvlJc w:val="left"/>
      <w:pPr>
        <w:tabs>
          <w:tab w:val="num" w:pos="4680"/>
        </w:tabs>
        <w:ind w:left="4680" w:hanging="360"/>
      </w:pPr>
      <w:rPr>
        <w:rFonts w:ascii="Wingdings" w:hAnsi="Wingdings" w:hint="default"/>
      </w:rPr>
    </w:lvl>
    <w:lvl w:ilvl="6" w:tplc="0C09000F">
      <w:start w:val="1"/>
      <w:numFmt w:val="bullet"/>
      <w:lvlText w:val=""/>
      <w:lvlJc w:val="left"/>
      <w:pPr>
        <w:tabs>
          <w:tab w:val="num" w:pos="5400"/>
        </w:tabs>
        <w:ind w:left="5400" w:hanging="360"/>
      </w:pPr>
      <w:rPr>
        <w:rFonts w:ascii="Symbol" w:hAnsi="Symbol" w:hint="default"/>
      </w:rPr>
    </w:lvl>
    <w:lvl w:ilvl="7" w:tplc="0C090019">
      <w:start w:val="1"/>
      <w:numFmt w:val="bullet"/>
      <w:lvlText w:val="o"/>
      <w:lvlJc w:val="left"/>
      <w:pPr>
        <w:tabs>
          <w:tab w:val="num" w:pos="6120"/>
        </w:tabs>
        <w:ind w:left="6120" w:hanging="360"/>
      </w:pPr>
      <w:rPr>
        <w:rFonts w:ascii="Courier New" w:hAnsi="Courier New" w:hint="default"/>
      </w:rPr>
    </w:lvl>
    <w:lvl w:ilvl="8" w:tplc="0C09001B">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7AE2B46"/>
    <w:multiLevelType w:val="hybridMultilevel"/>
    <w:tmpl w:val="1D32468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798A6438"/>
    <w:multiLevelType w:val="hybridMultilevel"/>
    <w:tmpl w:val="2572E536"/>
    <w:lvl w:ilvl="0" w:tplc="D91C932E">
      <w:start w:val="1"/>
      <w:numFmt w:val="decimal"/>
      <w:lvlText w:val="%1."/>
      <w:lvlJc w:val="left"/>
      <w:pPr>
        <w:ind w:left="720" w:hanging="360"/>
      </w:pPr>
      <w:rPr>
        <w:rFonts w:hint="default"/>
        <w:color w:val="FFFFFF" w:themeColor="background1"/>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6"/>
  </w:num>
  <w:num w:numId="2">
    <w:abstractNumId w:val="14"/>
  </w:num>
  <w:num w:numId="3">
    <w:abstractNumId w:val="11"/>
  </w:num>
  <w:num w:numId="4">
    <w:abstractNumId w:val="6"/>
  </w:num>
  <w:num w:numId="5">
    <w:abstractNumId w:val="13"/>
  </w:num>
  <w:num w:numId="6">
    <w:abstractNumId w:val="0"/>
  </w:num>
  <w:num w:numId="7">
    <w:abstractNumId w:val="15"/>
  </w:num>
  <w:num w:numId="8">
    <w:abstractNumId w:val="9"/>
  </w:num>
  <w:num w:numId="9">
    <w:abstractNumId w:val="3"/>
  </w:num>
  <w:num w:numId="10">
    <w:abstractNumId w:val="7"/>
  </w:num>
  <w:num w:numId="11">
    <w:abstractNumId w:val="4"/>
  </w:num>
  <w:num w:numId="12">
    <w:abstractNumId w:val="5"/>
  </w:num>
  <w:num w:numId="13">
    <w:abstractNumId w:val="1"/>
  </w:num>
  <w:num w:numId="14">
    <w:abstractNumId w:val="2"/>
  </w:num>
  <w:num w:numId="15">
    <w:abstractNumId w:val="12"/>
  </w:num>
  <w:num w:numId="16">
    <w:abstractNumId w:val="18"/>
  </w:num>
  <w:num w:numId="17">
    <w:abstractNumId w:val="17"/>
  </w:num>
  <w:num w:numId="18">
    <w:abstractNumId w:val="8"/>
  </w:num>
  <w:num w:numId="19">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567"/>
  <w:drawingGridHorizontalSpacing w:val="105"/>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416"/>
    <w:rsid w:val="000016B9"/>
    <w:rsid w:val="000068D5"/>
    <w:rsid w:val="00011DA3"/>
    <w:rsid w:val="000166D6"/>
    <w:rsid w:val="00030790"/>
    <w:rsid w:val="00030CC1"/>
    <w:rsid w:val="00034546"/>
    <w:rsid w:val="00036B92"/>
    <w:rsid w:val="000419C1"/>
    <w:rsid w:val="00043B50"/>
    <w:rsid w:val="000446A5"/>
    <w:rsid w:val="0005196D"/>
    <w:rsid w:val="00056804"/>
    <w:rsid w:val="000650AF"/>
    <w:rsid w:val="00065CEA"/>
    <w:rsid w:val="00070067"/>
    <w:rsid w:val="0007453E"/>
    <w:rsid w:val="00074A48"/>
    <w:rsid w:val="00076803"/>
    <w:rsid w:val="00090A83"/>
    <w:rsid w:val="000A2FFC"/>
    <w:rsid w:val="000A6B63"/>
    <w:rsid w:val="000B13CB"/>
    <w:rsid w:val="000C3F1E"/>
    <w:rsid w:val="000C6C34"/>
    <w:rsid w:val="000D0F1B"/>
    <w:rsid w:val="000D17D0"/>
    <w:rsid w:val="000F5CCD"/>
    <w:rsid w:val="000F5D86"/>
    <w:rsid w:val="0011798B"/>
    <w:rsid w:val="00134F6D"/>
    <w:rsid w:val="00141616"/>
    <w:rsid w:val="0015010B"/>
    <w:rsid w:val="00152EB7"/>
    <w:rsid w:val="0016080C"/>
    <w:rsid w:val="001623DE"/>
    <w:rsid w:val="00184C62"/>
    <w:rsid w:val="001903FC"/>
    <w:rsid w:val="001912A2"/>
    <w:rsid w:val="001966FA"/>
    <w:rsid w:val="00197666"/>
    <w:rsid w:val="001A0139"/>
    <w:rsid w:val="001A0956"/>
    <w:rsid w:val="001C1FF2"/>
    <w:rsid w:val="001E7690"/>
    <w:rsid w:val="001E76BA"/>
    <w:rsid w:val="001F40F1"/>
    <w:rsid w:val="002009BA"/>
    <w:rsid w:val="00203525"/>
    <w:rsid w:val="00211243"/>
    <w:rsid w:val="00214A8E"/>
    <w:rsid w:val="00214FA6"/>
    <w:rsid w:val="00215465"/>
    <w:rsid w:val="002276E2"/>
    <w:rsid w:val="00230AD2"/>
    <w:rsid w:val="002373B7"/>
    <w:rsid w:val="00246AAC"/>
    <w:rsid w:val="002479CE"/>
    <w:rsid w:val="002513C0"/>
    <w:rsid w:val="00267AA6"/>
    <w:rsid w:val="002846D8"/>
    <w:rsid w:val="0029668D"/>
    <w:rsid w:val="002A0832"/>
    <w:rsid w:val="002A093C"/>
    <w:rsid w:val="002A5458"/>
    <w:rsid w:val="002C6B74"/>
    <w:rsid w:val="002D33BC"/>
    <w:rsid w:val="002D6623"/>
    <w:rsid w:val="002E7655"/>
    <w:rsid w:val="002F3300"/>
    <w:rsid w:val="003010B0"/>
    <w:rsid w:val="00316528"/>
    <w:rsid w:val="00321A8D"/>
    <w:rsid w:val="003238CE"/>
    <w:rsid w:val="003303B5"/>
    <w:rsid w:val="00337416"/>
    <w:rsid w:val="003439ED"/>
    <w:rsid w:val="00354F6D"/>
    <w:rsid w:val="003633F5"/>
    <w:rsid w:val="00376A58"/>
    <w:rsid w:val="003A0D75"/>
    <w:rsid w:val="003A641C"/>
    <w:rsid w:val="003B13F4"/>
    <w:rsid w:val="003C7FAC"/>
    <w:rsid w:val="003D4DBC"/>
    <w:rsid w:val="003F631B"/>
    <w:rsid w:val="00411A3D"/>
    <w:rsid w:val="00417850"/>
    <w:rsid w:val="00421494"/>
    <w:rsid w:val="00433EAC"/>
    <w:rsid w:val="004439BD"/>
    <w:rsid w:val="004502A1"/>
    <w:rsid w:val="00452B15"/>
    <w:rsid w:val="004563B4"/>
    <w:rsid w:val="00462EA4"/>
    <w:rsid w:val="00481CE3"/>
    <w:rsid w:val="00482E0B"/>
    <w:rsid w:val="00496C0F"/>
    <w:rsid w:val="00496CD4"/>
    <w:rsid w:val="004B4981"/>
    <w:rsid w:val="004C10AE"/>
    <w:rsid w:val="004C12CF"/>
    <w:rsid w:val="004C1925"/>
    <w:rsid w:val="004C304F"/>
    <w:rsid w:val="004D7871"/>
    <w:rsid w:val="004E69B5"/>
    <w:rsid w:val="004F131E"/>
    <w:rsid w:val="004F3D98"/>
    <w:rsid w:val="004F5B70"/>
    <w:rsid w:val="004F74DA"/>
    <w:rsid w:val="005014D9"/>
    <w:rsid w:val="00503E7E"/>
    <w:rsid w:val="005115E8"/>
    <w:rsid w:val="00512E77"/>
    <w:rsid w:val="005311EA"/>
    <w:rsid w:val="00532054"/>
    <w:rsid w:val="00534BB1"/>
    <w:rsid w:val="0053763A"/>
    <w:rsid w:val="0056271E"/>
    <w:rsid w:val="005638F1"/>
    <w:rsid w:val="005652B1"/>
    <w:rsid w:val="005654E8"/>
    <w:rsid w:val="00576D35"/>
    <w:rsid w:val="00577AA3"/>
    <w:rsid w:val="00581A6C"/>
    <w:rsid w:val="0058377A"/>
    <w:rsid w:val="00586AC8"/>
    <w:rsid w:val="005A60DB"/>
    <w:rsid w:val="005B369E"/>
    <w:rsid w:val="005C54B5"/>
    <w:rsid w:val="005C72CC"/>
    <w:rsid w:val="005E5305"/>
    <w:rsid w:val="006046FF"/>
    <w:rsid w:val="00612812"/>
    <w:rsid w:val="00622565"/>
    <w:rsid w:val="0063036E"/>
    <w:rsid w:val="00632F54"/>
    <w:rsid w:val="00633AF4"/>
    <w:rsid w:val="00635C80"/>
    <w:rsid w:val="0064007B"/>
    <w:rsid w:val="006515F5"/>
    <w:rsid w:val="006610FF"/>
    <w:rsid w:val="00665B9F"/>
    <w:rsid w:val="00680C6F"/>
    <w:rsid w:val="00685229"/>
    <w:rsid w:val="006875BB"/>
    <w:rsid w:val="0069624A"/>
    <w:rsid w:val="006A2843"/>
    <w:rsid w:val="006A6360"/>
    <w:rsid w:val="006C1037"/>
    <w:rsid w:val="006C2725"/>
    <w:rsid w:val="006D2273"/>
    <w:rsid w:val="006D5CDC"/>
    <w:rsid w:val="006D74BD"/>
    <w:rsid w:val="006E2D18"/>
    <w:rsid w:val="006F5359"/>
    <w:rsid w:val="006F7929"/>
    <w:rsid w:val="00716B52"/>
    <w:rsid w:val="0073089A"/>
    <w:rsid w:val="00731AE2"/>
    <w:rsid w:val="007468C7"/>
    <w:rsid w:val="00751C23"/>
    <w:rsid w:val="00752EAD"/>
    <w:rsid w:val="0076392F"/>
    <w:rsid w:val="00767B5B"/>
    <w:rsid w:val="00782C8C"/>
    <w:rsid w:val="007903B1"/>
    <w:rsid w:val="0079069F"/>
    <w:rsid w:val="007A6A50"/>
    <w:rsid w:val="007D1FEC"/>
    <w:rsid w:val="007D26DC"/>
    <w:rsid w:val="007D5985"/>
    <w:rsid w:val="007E19AD"/>
    <w:rsid w:val="007E76A2"/>
    <w:rsid w:val="00810221"/>
    <w:rsid w:val="00810457"/>
    <w:rsid w:val="008110D0"/>
    <w:rsid w:val="00815AAF"/>
    <w:rsid w:val="008266EE"/>
    <w:rsid w:val="00826FDC"/>
    <w:rsid w:val="00832B4A"/>
    <w:rsid w:val="008342FA"/>
    <w:rsid w:val="008459DC"/>
    <w:rsid w:val="008545F3"/>
    <w:rsid w:val="0086024E"/>
    <w:rsid w:val="00860B3E"/>
    <w:rsid w:val="00875C35"/>
    <w:rsid w:val="00883B0E"/>
    <w:rsid w:val="00886A94"/>
    <w:rsid w:val="0089296A"/>
    <w:rsid w:val="0089332C"/>
    <w:rsid w:val="008A2D11"/>
    <w:rsid w:val="008A593B"/>
    <w:rsid w:val="008D2D94"/>
    <w:rsid w:val="008D37D2"/>
    <w:rsid w:val="008D442C"/>
    <w:rsid w:val="008E6747"/>
    <w:rsid w:val="00904477"/>
    <w:rsid w:val="0091794F"/>
    <w:rsid w:val="0092592D"/>
    <w:rsid w:val="00936F16"/>
    <w:rsid w:val="00937705"/>
    <w:rsid w:val="00937B2B"/>
    <w:rsid w:val="00941A30"/>
    <w:rsid w:val="00947539"/>
    <w:rsid w:val="0096313F"/>
    <w:rsid w:val="00966ABA"/>
    <w:rsid w:val="00970D1E"/>
    <w:rsid w:val="00975520"/>
    <w:rsid w:val="009972DF"/>
    <w:rsid w:val="009A3E34"/>
    <w:rsid w:val="009A6053"/>
    <w:rsid w:val="009B7419"/>
    <w:rsid w:val="009C0369"/>
    <w:rsid w:val="009C71EE"/>
    <w:rsid w:val="009E391E"/>
    <w:rsid w:val="009E4EC4"/>
    <w:rsid w:val="00A05FB6"/>
    <w:rsid w:val="00A10809"/>
    <w:rsid w:val="00A11C42"/>
    <w:rsid w:val="00A4350C"/>
    <w:rsid w:val="00A53F9C"/>
    <w:rsid w:val="00A541B9"/>
    <w:rsid w:val="00A56436"/>
    <w:rsid w:val="00A65F3E"/>
    <w:rsid w:val="00A71462"/>
    <w:rsid w:val="00A7771C"/>
    <w:rsid w:val="00A80C2F"/>
    <w:rsid w:val="00A87947"/>
    <w:rsid w:val="00A91A12"/>
    <w:rsid w:val="00A978DD"/>
    <w:rsid w:val="00AA618D"/>
    <w:rsid w:val="00AA6E5F"/>
    <w:rsid w:val="00AB3779"/>
    <w:rsid w:val="00AB6DED"/>
    <w:rsid w:val="00AB7D32"/>
    <w:rsid w:val="00AC0A2F"/>
    <w:rsid w:val="00AC5820"/>
    <w:rsid w:val="00AD606C"/>
    <w:rsid w:val="00AE10CF"/>
    <w:rsid w:val="00AE2693"/>
    <w:rsid w:val="00AE3905"/>
    <w:rsid w:val="00AE3E57"/>
    <w:rsid w:val="00AE507F"/>
    <w:rsid w:val="00AE6BD7"/>
    <w:rsid w:val="00AF112C"/>
    <w:rsid w:val="00AF4E7F"/>
    <w:rsid w:val="00B02277"/>
    <w:rsid w:val="00B0376B"/>
    <w:rsid w:val="00B220E5"/>
    <w:rsid w:val="00B22DCD"/>
    <w:rsid w:val="00B23196"/>
    <w:rsid w:val="00B40CCC"/>
    <w:rsid w:val="00B509AB"/>
    <w:rsid w:val="00B51C5D"/>
    <w:rsid w:val="00B525C2"/>
    <w:rsid w:val="00B52648"/>
    <w:rsid w:val="00B55EDC"/>
    <w:rsid w:val="00B6508B"/>
    <w:rsid w:val="00B70B52"/>
    <w:rsid w:val="00B71058"/>
    <w:rsid w:val="00B71D00"/>
    <w:rsid w:val="00BA4472"/>
    <w:rsid w:val="00BB3989"/>
    <w:rsid w:val="00BB49DB"/>
    <w:rsid w:val="00BC21E9"/>
    <w:rsid w:val="00BC6211"/>
    <w:rsid w:val="00BD536A"/>
    <w:rsid w:val="00BE312A"/>
    <w:rsid w:val="00C140C2"/>
    <w:rsid w:val="00C17AE1"/>
    <w:rsid w:val="00C30FA2"/>
    <w:rsid w:val="00C348AF"/>
    <w:rsid w:val="00C34A60"/>
    <w:rsid w:val="00C34F4D"/>
    <w:rsid w:val="00C50025"/>
    <w:rsid w:val="00C777B3"/>
    <w:rsid w:val="00C82173"/>
    <w:rsid w:val="00C837F2"/>
    <w:rsid w:val="00C85938"/>
    <w:rsid w:val="00C973B7"/>
    <w:rsid w:val="00CB23B9"/>
    <w:rsid w:val="00CB5B48"/>
    <w:rsid w:val="00CB7CEE"/>
    <w:rsid w:val="00CE5298"/>
    <w:rsid w:val="00CF5A26"/>
    <w:rsid w:val="00D05E52"/>
    <w:rsid w:val="00D2026C"/>
    <w:rsid w:val="00D249CA"/>
    <w:rsid w:val="00D24F1A"/>
    <w:rsid w:val="00D51B7A"/>
    <w:rsid w:val="00D5471F"/>
    <w:rsid w:val="00D55F01"/>
    <w:rsid w:val="00D63564"/>
    <w:rsid w:val="00D72E45"/>
    <w:rsid w:val="00D760F0"/>
    <w:rsid w:val="00DB04F9"/>
    <w:rsid w:val="00DB064A"/>
    <w:rsid w:val="00DB76EC"/>
    <w:rsid w:val="00DB7DC4"/>
    <w:rsid w:val="00DD1627"/>
    <w:rsid w:val="00DD35A4"/>
    <w:rsid w:val="00DD6496"/>
    <w:rsid w:val="00DD7FA7"/>
    <w:rsid w:val="00E020B6"/>
    <w:rsid w:val="00E20794"/>
    <w:rsid w:val="00E25F01"/>
    <w:rsid w:val="00E27E63"/>
    <w:rsid w:val="00E30105"/>
    <w:rsid w:val="00E43F8B"/>
    <w:rsid w:val="00E561E7"/>
    <w:rsid w:val="00E666BB"/>
    <w:rsid w:val="00E670FD"/>
    <w:rsid w:val="00E73B61"/>
    <w:rsid w:val="00E753AA"/>
    <w:rsid w:val="00E76596"/>
    <w:rsid w:val="00E817B2"/>
    <w:rsid w:val="00E850F8"/>
    <w:rsid w:val="00E93F07"/>
    <w:rsid w:val="00EA06E4"/>
    <w:rsid w:val="00EC7585"/>
    <w:rsid w:val="00EF3556"/>
    <w:rsid w:val="00EF63A6"/>
    <w:rsid w:val="00F04053"/>
    <w:rsid w:val="00F05E53"/>
    <w:rsid w:val="00F11E01"/>
    <w:rsid w:val="00F141C9"/>
    <w:rsid w:val="00F15362"/>
    <w:rsid w:val="00F17C97"/>
    <w:rsid w:val="00F43E6B"/>
    <w:rsid w:val="00F47ECA"/>
    <w:rsid w:val="00F5066C"/>
    <w:rsid w:val="00F53D3C"/>
    <w:rsid w:val="00F64FE3"/>
    <w:rsid w:val="00F65D04"/>
    <w:rsid w:val="00F7011F"/>
    <w:rsid w:val="00F72C85"/>
    <w:rsid w:val="00F826ED"/>
    <w:rsid w:val="00F875BD"/>
    <w:rsid w:val="00FB1226"/>
    <w:rsid w:val="00FB3938"/>
    <w:rsid w:val="00FC70CA"/>
    <w:rsid w:val="00FE0459"/>
    <w:rsid w:val="00FE631C"/>
    <w:rsid w:val="00FF0A9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8E2B797"/>
  <w15:docId w15:val="{EB1964D2-BEB9-4997-B7FA-4ED331C0C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3E6B"/>
    <w:pPr>
      <w:spacing w:line="250" w:lineRule="exact"/>
    </w:pPr>
    <w:rPr>
      <w:rFonts w:cs="Times New Roman"/>
      <w:sz w:val="21"/>
      <w:szCs w:val="21"/>
      <w:lang w:eastAsia="en-AU"/>
    </w:rPr>
  </w:style>
  <w:style w:type="paragraph" w:styleId="Heading1">
    <w:name w:val="heading 1"/>
    <w:next w:val="Heading2"/>
    <w:link w:val="Heading1Char"/>
    <w:uiPriority w:val="9"/>
    <w:qFormat/>
    <w:rsid w:val="005115E8"/>
    <w:pPr>
      <w:keepNext/>
      <w:suppressAutoHyphens/>
      <w:spacing w:before="360" w:after="120" w:line="440" w:lineRule="exact"/>
      <w:outlineLvl w:val="0"/>
    </w:pPr>
    <w:rPr>
      <w:rFonts w:eastAsiaTheme="majorEastAsia" w:cstheme="majorBidi"/>
      <w:bCs/>
      <w:caps/>
      <w:color w:val="482D8C" w:themeColor="background2"/>
      <w:spacing w:val="-20"/>
      <w:kern w:val="36"/>
      <w:sz w:val="44"/>
      <w:szCs w:val="48"/>
      <w:lang w:eastAsia="en-AU"/>
    </w:rPr>
  </w:style>
  <w:style w:type="paragraph" w:styleId="Heading2">
    <w:name w:val="heading 2"/>
    <w:basedOn w:val="Normal"/>
    <w:next w:val="Heading3"/>
    <w:link w:val="Heading2Char"/>
    <w:uiPriority w:val="9"/>
    <w:unhideWhenUsed/>
    <w:qFormat/>
    <w:rsid w:val="00E666BB"/>
    <w:pPr>
      <w:keepNext/>
      <w:suppressAutoHyphens/>
      <w:spacing w:before="240" w:after="60" w:line="300" w:lineRule="exact"/>
      <w:outlineLvl w:val="1"/>
    </w:pPr>
    <w:rPr>
      <w:b/>
      <w:color w:val="AB4399"/>
      <w:sz w:val="38"/>
      <w:szCs w:val="36"/>
    </w:rPr>
  </w:style>
  <w:style w:type="paragraph" w:styleId="Heading3">
    <w:name w:val="heading 3"/>
    <w:basedOn w:val="Normal"/>
    <w:next w:val="Normal"/>
    <w:link w:val="Heading3Char"/>
    <w:uiPriority w:val="9"/>
    <w:unhideWhenUsed/>
    <w:qFormat/>
    <w:rsid w:val="005115E8"/>
    <w:pPr>
      <w:keepNext/>
      <w:suppressAutoHyphens/>
      <w:spacing w:before="200" w:after="60" w:line="240" w:lineRule="exact"/>
      <w:outlineLvl w:val="2"/>
    </w:pPr>
    <w:rPr>
      <w:b/>
      <w:sz w:val="32"/>
      <w:szCs w:val="28"/>
    </w:rPr>
  </w:style>
  <w:style w:type="paragraph" w:styleId="Heading4">
    <w:name w:val="heading 4"/>
    <w:basedOn w:val="Normal"/>
    <w:link w:val="Heading4Char"/>
    <w:uiPriority w:val="9"/>
    <w:unhideWhenUsed/>
    <w:qFormat/>
    <w:rsid w:val="005115E8"/>
    <w:pPr>
      <w:keepNext/>
      <w:spacing w:before="200" w:after="60" w:line="240" w:lineRule="exact"/>
      <w:outlineLvl w:val="3"/>
    </w:pPr>
    <w:rPr>
      <w:b/>
      <w:bCs/>
      <w:color w:val="595959" w:themeColor="text1" w:themeTint="A6"/>
      <w:sz w:val="28"/>
      <w:szCs w:val="28"/>
    </w:rPr>
  </w:style>
  <w:style w:type="paragraph" w:styleId="Heading5">
    <w:name w:val="heading 5"/>
    <w:basedOn w:val="Normal"/>
    <w:next w:val="Normal"/>
    <w:link w:val="Heading5Char"/>
    <w:uiPriority w:val="9"/>
    <w:unhideWhenUsed/>
    <w:qFormat/>
    <w:rsid w:val="00731AE2"/>
    <w:pPr>
      <w:keepNext/>
      <w:keepLines/>
      <w:spacing w:before="40" w:after="0"/>
      <w:outlineLvl w:val="4"/>
    </w:pPr>
    <w:rPr>
      <w:rFonts w:asciiTheme="majorHAnsi" w:eastAsiaTheme="majorEastAsia" w:hAnsiTheme="majorHAnsi" w:cstheme="majorBidi"/>
      <w:color w:val="25252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15E8"/>
    <w:rPr>
      <w:rFonts w:eastAsiaTheme="majorEastAsia" w:cstheme="majorBidi"/>
      <w:bCs/>
      <w:caps/>
      <w:color w:val="482D8C" w:themeColor="background2"/>
      <w:spacing w:val="-20"/>
      <w:kern w:val="36"/>
      <w:sz w:val="44"/>
      <w:szCs w:val="48"/>
      <w:lang w:eastAsia="en-AU"/>
    </w:rPr>
  </w:style>
  <w:style w:type="character" w:customStyle="1" w:styleId="Heading2Char">
    <w:name w:val="Heading 2 Char"/>
    <w:basedOn w:val="DefaultParagraphFont"/>
    <w:link w:val="Heading2"/>
    <w:uiPriority w:val="9"/>
    <w:rsid w:val="00E666BB"/>
    <w:rPr>
      <w:rFonts w:cs="Times New Roman"/>
      <w:b/>
      <w:color w:val="AB4399"/>
      <w:sz w:val="38"/>
      <w:szCs w:val="36"/>
      <w:lang w:eastAsia="en-AU"/>
    </w:rPr>
  </w:style>
  <w:style w:type="character" w:customStyle="1" w:styleId="Heading3Char">
    <w:name w:val="Heading 3 Char"/>
    <w:basedOn w:val="DefaultParagraphFont"/>
    <w:link w:val="Heading3"/>
    <w:uiPriority w:val="9"/>
    <w:rsid w:val="005115E8"/>
    <w:rPr>
      <w:rFonts w:cs="Times New Roman"/>
      <w:b/>
      <w:sz w:val="32"/>
      <w:szCs w:val="28"/>
      <w:lang w:eastAsia="en-AU"/>
    </w:rPr>
  </w:style>
  <w:style w:type="character" w:customStyle="1" w:styleId="Heading4Char">
    <w:name w:val="Heading 4 Char"/>
    <w:basedOn w:val="DefaultParagraphFont"/>
    <w:link w:val="Heading4"/>
    <w:uiPriority w:val="9"/>
    <w:rsid w:val="005115E8"/>
    <w:rPr>
      <w:rFonts w:cs="Times New Roman"/>
      <w:b/>
      <w:bCs/>
      <w:color w:val="595959" w:themeColor="text1" w:themeTint="A6"/>
      <w:sz w:val="28"/>
      <w:szCs w:val="28"/>
      <w:lang w:eastAsia="en-AU"/>
    </w:rPr>
  </w:style>
  <w:style w:type="character" w:styleId="Hyperlink">
    <w:name w:val="Hyperlink"/>
    <w:basedOn w:val="DefaultParagraphFont"/>
    <w:uiPriority w:val="99"/>
    <w:unhideWhenUsed/>
    <w:rsid w:val="00F43E6B"/>
    <w:rPr>
      <w:color w:val="482D8C" w:themeColor="background2"/>
      <w:u w:val="single"/>
    </w:rPr>
  </w:style>
  <w:style w:type="paragraph" w:styleId="TOC1">
    <w:name w:val="toc 1"/>
    <w:basedOn w:val="Normal"/>
    <w:autoRedefine/>
    <w:uiPriority w:val="39"/>
    <w:unhideWhenUsed/>
    <w:rsid w:val="005115E8"/>
    <w:pPr>
      <w:keepNext/>
      <w:tabs>
        <w:tab w:val="right" w:leader="dot" w:pos="9060"/>
      </w:tabs>
      <w:spacing w:before="360" w:after="120" w:line="440" w:lineRule="exact"/>
    </w:pPr>
    <w:rPr>
      <w:b/>
      <w:caps/>
      <w:noProof/>
      <w:color w:val="482D8C" w:themeColor="background2"/>
      <w:sz w:val="32"/>
      <w:szCs w:val="40"/>
    </w:rPr>
  </w:style>
  <w:style w:type="paragraph" w:styleId="TOC2">
    <w:name w:val="toc 2"/>
    <w:basedOn w:val="Normal"/>
    <w:autoRedefine/>
    <w:uiPriority w:val="39"/>
    <w:unhideWhenUsed/>
    <w:rsid w:val="00731AE2"/>
    <w:pPr>
      <w:keepNext/>
      <w:tabs>
        <w:tab w:val="right" w:leader="dot" w:pos="9060"/>
      </w:tabs>
      <w:spacing w:before="200" w:after="120" w:line="320" w:lineRule="exact"/>
      <w:ind w:left="210"/>
    </w:pPr>
    <w:rPr>
      <w:noProof/>
      <w:color w:val="AB4399"/>
      <w:sz w:val="28"/>
      <w:szCs w:val="32"/>
    </w:rPr>
  </w:style>
  <w:style w:type="paragraph" w:styleId="TOC3">
    <w:name w:val="toc 3"/>
    <w:basedOn w:val="Normal"/>
    <w:autoRedefine/>
    <w:uiPriority w:val="39"/>
    <w:unhideWhenUsed/>
    <w:rsid w:val="005115E8"/>
    <w:pPr>
      <w:keepNext/>
      <w:spacing w:before="200" w:after="120" w:line="240" w:lineRule="exact"/>
      <w:ind w:left="420"/>
    </w:pPr>
    <w:rPr>
      <w:sz w:val="24"/>
      <w:szCs w:val="24"/>
    </w:rPr>
  </w:style>
  <w:style w:type="paragraph" w:styleId="Title">
    <w:name w:val="Title"/>
    <w:basedOn w:val="Normal"/>
    <w:link w:val="TitleChar"/>
    <w:uiPriority w:val="10"/>
    <w:qFormat/>
    <w:rsid w:val="00E666BB"/>
    <w:pPr>
      <w:spacing w:after="120" w:line="680" w:lineRule="exact"/>
    </w:pPr>
    <w:rPr>
      <w:caps/>
      <w:color w:val="AB4399"/>
      <w:w w:val="110"/>
      <w:sz w:val="72"/>
      <w:szCs w:val="72"/>
    </w:rPr>
  </w:style>
  <w:style w:type="character" w:customStyle="1" w:styleId="TitleChar">
    <w:name w:val="Title Char"/>
    <w:basedOn w:val="DefaultParagraphFont"/>
    <w:link w:val="Title"/>
    <w:uiPriority w:val="10"/>
    <w:rsid w:val="00E666BB"/>
    <w:rPr>
      <w:rFonts w:cs="Times New Roman"/>
      <w:caps/>
      <w:color w:val="AB4399"/>
      <w:w w:val="110"/>
      <w:sz w:val="72"/>
      <w:szCs w:val="72"/>
      <w:lang w:eastAsia="en-AU"/>
    </w:rPr>
  </w:style>
  <w:style w:type="paragraph" w:styleId="Subtitle">
    <w:name w:val="Subtitle"/>
    <w:basedOn w:val="Normal"/>
    <w:link w:val="SubtitleChar"/>
    <w:uiPriority w:val="11"/>
    <w:qFormat/>
    <w:rsid w:val="000446A5"/>
    <w:pPr>
      <w:spacing w:line="360" w:lineRule="exact"/>
    </w:pPr>
    <w:rPr>
      <w:b/>
      <w:color w:val="262626"/>
      <w:sz w:val="48"/>
      <w:szCs w:val="40"/>
    </w:rPr>
  </w:style>
  <w:style w:type="character" w:customStyle="1" w:styleId="SubtitleChar">
    <w:name w:val="Subtitle Char"/>
    <w:basedOn w:val="DefaultParagraphFont"/>
    <w:link w:val="Subtitle"/>
    <w:uiPriority w:val="11"/>
    <w:rsid w:val="000446A5"/>
    <w:rPr>
      <w:rFonts w:cs="Times New Roman"/>
      <w:b/>
      <w:color w:val="262626"/>
      <w:sz w:val="48"/>
      <w:szCs w:val="40"/>
      <w:lang w:eastAsia="en-AU"/>
    </w:rPr>
  </w:style>
  <w:style w:type="paragraph" w:styleId="TOCHeading">
    <w:name w:val="TOC Heading"/>
    <w:basedOn w:val="Normal"/>
    <w:uiPriority w:val="39"/>
    <w:semiHidden/>
    <w:unhideWhenUsed/>
    <w:qFormat/>
    <w:rsid w:val="00AE6BD7"/>
    <w:pPr>
      <w:keepNext/>
      <w:spacing w:before="480" w:after="120" w:line="276" w:lineRule="auto"/>
    </w:pPr>
    <w:rPr>
      <w:rFonts w:ascii="Cambria" w:hAnsi="Cambria"/>
      <w:b/>
      <w:bCs/>
      <w:color w:val="365F91"/>
      <w:sz w:val="28"/>
      <w:szCs w:val="28"/>
    </w:rPr>
  </w:style>
  <w:style w:type="paragraph" w:customStyle="1" w:styleId="Intro">
    <w:name w:val="Intro"/>
    <w:basedOn w:val="Normal"/>
    <w:rsid w:val="005115E8"/>
    <w:pPr>
      <w:spacing w:line="300" w:lineRule="exact"/>
    </w:pPr>
    <w:rPr>
      <w:color w:val="482D8C" w:themeColor="background2"/>
      <w:w w:val="110"/>
      <w:sz w:val="25"/>
      <w:szCs w:val="24"/>
    </w:rPr>
  </w:style>
  <w:style w:type="paragraph" w:styleId="TOC4">
    <w:name w:val="toc 4"/>
    <w:basedOn w:val="Normal"/>
    <w:next w:val="Normal"/>
    <w:autoRedefine/>
    <w:uiPriority w:val="39"/>
    <w:unhideWhenUsed/>
    <w:rsid w:val="00D5471F"/>
    <w:pPr>
      <w:spacing w:after="100"/>
      <w:ind w:left="630"/>
    </w:pPr>
    <w:rPr>
      <w:color w:val="482D8C" w:themeColor="background2"/>
    </w:rPr>
  </w:style>
  <w:style w:type="paragraph" w:customStyle="1" w:styleId="bulletnumbers">
    <w:name w:val="bullet numbers"/>
    <w:basedOn w:val="Normal"/>
    <w:qFormat/>
    <w:rsid w:val="000C6C34"/>
    <w:pPr>
      <w:numPr>
        <w:numId w:val="5"/>
      </w:numPr>
      <w:spacing w:after="120"/>
      <w:ind w:left="357" w:hanging="357"/>
    </w:pPr>
  </w:style>
  <w:style w:type="paragraph" w:styleId="Header">
    <w:name w:val="header"/>
    <w:basedOn w:val="Normal"/>
    <w:link w:val="HeaderChar"/>
    <w:uiPriority w:val="99"/>
    <w:unhideWhenUsed/>
    <w:rsid w:val="00665B9F"/>
    <w:pPr>
      <w:tabs>
        <w:tab w:val="center" w:pos="4513"/>
        <w:tab w:val="right" w:pos="9026"/>
      </w:tabs>
      <w:spacing w:after="0" w:line="240" w:lineRule="auto"/>
    </w:pPr>
  </w:style>
  <w:style w:type="character" w:customStyle="1" w:styleId="HeaderChar">
    <w:name w:val="Header Char"/>
    <w:basedOn w:val="DefaultParagraphFont"/>
    <w:link w:val="Header"/>
    <w:uiPriority w:val="99"/>
    <w:rsid w:val="00665B9F"/>
    <w:rPr>
      <w:rFonts w:ascii="Source Sans Pro" w:hAnsi="Source Sans Pro" w:cs="Times New Roman"/>
      <w:sz w:val="21"/>
      <w:szCs w:val="21"/>
      <w:lang w:eastAsia="en-AU"/>
    </w:rPr>
  </w:style>
  <w:style w:type="paragraph" w:styleId="Footer">
    <w:name w:val="footer"/>
    <w:basedOn w:val="Normal"/>
    <w:link w:val="FooterChar"/>
    <w:uiPriority w:val="99"/>
    <w:unhideWhenUsed/>
    <w:rsid w:val="00665B9F"/>
    <w:pPr>
      <w:tabs>
        <w:tab w:val="center" w:pos="4513"/>
        <w:tab w:val="right" w:pos="9026"/>
      </w:tabs>
      <w:spacing w:after="0" w:line="240" w:lineRule="auto"/>
    </w:pPr>
  </w:style>
  <w:style w:type="character" w:customStyle="1" w:styleId="FooterChar">
    <w:name w:val="Footer Char"/>
    <w:basedOn w:val="DefaultParagraphFont"/>
    <w:link w:val="Footer"/>
    <w:uiPriority w:val="99"/>
    <w:rsid w:val="00665B9F"/>
    <w:rPr>
      <w:rFonts w:ascii="Source Sans Pro" w:hAnsi="Source Sans Pro" w:cs="Times New Roman"/>
      <w:sz w:val="21"/>
      <w:szCs w:val="21"/>
      <w:lang w:eastAsia="en-AU"/>
    </w:rPr>
  </w:style>
  <w:style w:type="paragraph" w:customStyle="1" w:styleId="Tablebody">
    <w:name w:val="Table body"/>
    <w:basedOn w:val="BodyText"/>
    <w:uiPriority w:val="1"/>
    <w:qFormat/>
    <w:rsid w:val="00632F54"/>
    <w:pPr>
      <w:widowControl w:val="0"/>
      <w:spacing w:before="120"/>
    </w:pPr>
    <w:rPr>
      <w:rFonts w:eastAsia="Montserrat Light" w:cstheme="minorBidi"/>
      <w:color w:val="262626" w:themeColor="text1" w:themeTint="D9"/>
      <w:szCs w:val="22"/>
      <w:lang w:val="en-US" w:eastAsia="en-US"/>
    </w:rPr>
  </w:style>
  <w:style w:type="paragraph" w:styleId="TOAHeading">
    <w:name w:val="toa heading"/>
    <w:basedOn w:val="Normal"/>
    <w:next w:val="Normal"/>
    <w:uiPriority w:val="99"/>
    <w:semiHidden/>
    <w:unhideWhenUsed/>
    <w:rsid w:val="00632F54"/>
    <w:pPr>
      <w:spacing w:before="120"/>
    </w:pPr>
    <w:rPr>
      <w:rFonts w:asciiTheme="majorHAnsi" w:eastAsiaTheme="majorEastAsia" w:hAnsiTheme="majorHAnsi" w:cstheme="majorBidi"/>
      <w:b/>
      <w:bCs/>
      <w:sz w:val="24"/>
      <w:szCs w:val="24"/>
    </w:rPr>
  </w:style>
  <w:style w:type="table" w:styleId="TableGrid">
    <w:name w:val="Table Grid"/>
    <w:basedOn w:val="TableNormal"/>
    <w:uiPriority w:val="59"/>
    <w:rsid w:val="00632F54"/>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Tablebody"/>
    <w:uiPriority w:val="1"/>
    <w:qFormat/>
    <w:rsid w:val="000446A5"/>
    <w:rPr>
      <w:color w:val="FFFFFF" w:themeColor="background1"/>
      <w:szCs w:val="24"/>
    </w:rPr>
  </w:style>
  <w:style w:type="paragraph" w:styleId="BodyText">
    <w:name w:val="Body Text"/>
    <w:basedOn w:val="Normal"/>
    <w:link w:val="BodyTextChar"/>
    <w:uiPriority w:val="99"/>
    <w:semiHidden/>
    <w:unhideWhenUsed/>
    <w:rsid w:val="00632F54"/>
    <w:pPr>
      <w:spacing w:after="120"/>
    </w:pPr>
  </w:style>
  <w:style w:type="character" w:customStyle="1" w:styleId="BodyTextChar">
    <w:name w:val="Body Text Char"/>
    <w:basedOn w:val="DefaultParagraphFont"/>
    <w:link w:val="BodyText"/>
    <w:uiPriority w:val="99"/>
    <w:semiHidden/>
    <w:rsid w:val="00632F54"/>
    <w:rPr>
      <w:rFonts w:ascii="Source Sans Pro" w:hAnsi="Source Sans Pro" w:cs="Times New Roman"/>
      <w:sz w:val="21"/>
      <w:szCs w:val="21"/>
      <w:lang w:eastAsia="en-AU"/>
    </w:rPr>
  </w:style>
  <w:style w:type="paragraph" w:customStyle="1" w:styleId="Bullet1">
    <w:name w:val="Bullet 1"/>
    <w:basedOn w:val="Normal"/>
    <w:link w:val="Bullet1Char"/>
    <w:qFormat/>
    <w:rsid w:val="00F53D3C"/>
    <w:pPr>
      <w:numPr>
        <w:numId w:val="1"/>
      </w:numPr>
      <w:spacing w:after="60" w:line="240" w:lineRule="auto"/>
      <w:ind w:left="357" w:hanging="357"/>
    </w:pPr>
    <w:rPr>
      <w:rFonts w:eastAsia="Times New Roman"/>
      <w:sz w:val="22"/>
      <w:szCs w:val="20"/>
      <w:lang w:eastAsia="en-US"/>
    </w:rPr>
  </w:style>
  <w:style w:type="character" w:customStyle="1" w:styleId="Bullet1Char">
    <w:name w:val="Bullet 1 Char"/>
    <w:basedOn w:val="DefaultParagraphFont"/>
    <w:link w:val="Bullet1"/>
    <w:rsid w:val="00F53D3C"/>
    <w:rPr>
      <w:rFonts w:eastAsia="Times New Roman" w:cs="Times New Roman"/>
      <w:szCs w:val="20"/>
    </w:rPr>
  </w:style>
  <w:style w:type="paragraph" w:customStyle="1" w:styleId="Bullet2">
    <w:name w:val="Bullet 2"/>
    <w:basedOn w:val="Bullet1"/>
    <w:link w:val="Bullet2Char"/>
    <w:qFormat/>
    <w:rsid w:val="002A5458"/>
    <w:pPr>
      <w:numPr>
        <w:numId w:val="2"/>
      </w:numPr>
      <w:ind w:left="630" w:hanging="273"/>
    </w:pPr>
  </w:style>
  <w:style w:type="character" w:customStyle="1" w:styleId="Bullet2Char">
    <w:name w:val="Bullet 2 Char"/>
    <w:basedOn w:val="Bullet1Char"/>
    <w:link w:val="Bullet2"/>
    <w:rsid w:val="002A5458"/>
    <w:rPr>
      <w:rFonts w:eastAsia="Times New Roman" w:cs="Times New Roman"/>
      <w:szCs w:val="20"/>
    </w:rPr>
  </w:style>
  <w:style w:type="paragraph" w:customStyle="1" w:styleId="Bullet3">
    <w:name w:val="Bullet 3"/>
    <w:basedOn w:val="Bullet2"/>
    <w:qFormat/>
    <w:rsid w:val="002A5458"/>
    <w:pPr>
      <w:numPr>
        <w:numId w:val="3"/>
      </w:numPr>
      <w:tabs>
        <w:tab w:val="num" w:pos="360"/>
      </w:tabs>
      <w:ind w:left="993" w:hanging="276"/>
    </w:pPr>
  </w:style>
  <w:style w:type="paragraph" w:customStyle="1" w:styleId="Note">
    <w:name w:val="Note"/>
    <w:basedOn w:val="Normal"/>
    <w:link w:val="NoteChar"/>
    <w:qFormat/>
    <w:rsid w:val="00AE3905"/>
    <w:pPr>
      <w:keepNext/>
      <w:spacing w:before="120"/>
    </w:pPr>
    <w:rPr>
      <w:rFonts w:eastAsia="Times New Roman"/>
      <w:sz w:val="18"/>
      <w:szCs w:val="16"/>
      <w:lang w:eastAsia="en-US"/>
    </w:rPr>
  </w:style>
  <w:style w:type="character" w:customStyle="1" w:styleId="NoteChar">
    <w:name w:val="Note Char"/>
    <w:link w:val="Note"/>
    <w:rsid w:val="00752EAD"/>
    <w:rPr>
      <w:rFonts w:eastAsia="Times New Roman" w:cs="Times New Roman"/>
      <w:sz w:val="18"/>
      <w:szCs w:val="16"/>
    </w:rPr>
  </w:style>
  <w:style w:type="paragraph" w:customStyle="1" w:styleId="Tablefigures">
    <w:name w:val="Table figures"/>
    <w:basedOn w:val="Tabletext"/>
    <w:link w:val="TablefiguresChar"/>
    <w:autoRedefine/>
    <w:qFormat/>
    <w:rsid w:val="0086024E"/>
    <w:pPr>
      <w:jc w:val="right"/>
    </w:pPr>
    <w:rPr>
      <w:bCs w:val="0"/>
    </w:rPr>
  </w:style>
  <w:style w:type="paragraph" w:customStyle="1" w:styleId="Tabletext">
    <w:name w:val="Table text"/>
    <w:basedOn w:val="Normal"/>
    <w:link w:val="TabletextChar"/>
    <w:autoRedefine/>
    <w:qFormat/>
    <w:rsid w:val="000419C1"/>
    <w:pPr>
      <w:spacing w:after="0" w:line="240" w:lineRule="auto"/>
      <w:ind w:left="227" w:hanging="227"/>
    </w:pPr>
    <w:rPr>
      <w:rFonts w:eastAsia="Times New Roman"/>
      <w:bCs/>
      <w:szCs w:val="20"/>
    </w:rPr>
  </w:style>
  <w:style w:type="character" w:customStyle="1" w:styleId="TablefiguresChar">
    <w:name w:val="Table figures Char"/>
    <w:basedOn w:val="DefaultParagraphFont"/>
    <w:link w:val="Tablefigures"/>
    <w:rsid w:val="0086024E"/>
    <w:rPr>
      <w:rFonts w:eastAsia="Times New Roman" w:cs="Times New Roman"/>
      <w:sz w:val="20"/>
      <w:szCs w:val="20"/>
      <w:lang w:eastAsia="en-AU"/>
    </w:rPr>
  </w:style>
  <w:style w:type="character" w:customStyle="1" w:styleId="TabletextChar">
    <w:name w:val="Table text Char"/>
    <w:basedOn w:val="DefaultParagraphFont"/>
    <w:link w:val="Tabletext"/>
    <w:rsid w:val="000419C1"/>
    <w:rPr>
      <w:rFonts w:eastAsia="Times New Roman" w:cs="Times New Roman"/>
      <w:bCs/>
      <w:sz w:val="21"/>
      <w:szCs w:val="20"/>
      <w:lang w:eastAsia="en-AU"/>
    </w:rPr>
  </w:style>
  <w:style w:type="paragraph" w:customStyle="1" w:styleId="Noteslist">
    <w:name w:val="Notes list"/>
    <w:basedOn w:val="Normal"/>
    <w:link w:val="NoteslistChar"/>
    <w:qFormat/>
    <w:rsid w:val="0086024E"/>
    <w:pPr>
      <w:numPr>
        <w:numId w:val="4"/>
      </w:numPr>
      <w:spacing w:after="0" w:line="240" w:lineRule="auto"/>
    </w:pPr>
    <w:rPr>
      <w:rFonts w:eastAsia="Times New Roman"/>
      <w:sz w:val="18"/>
      <w:szCs w:val="24"/>
      <w:lang w:eastAsia="en-US"/>
    </w:rPr>
  </w:style>
  <w:style w:type="character" w:customStyle="1" w:styleId="NoteslistChar">
    <w:name w:val="Notes list Char"/>
    <w:basedOn w:val="DefaultParagraphFont"/>
    <w:link w:val="Noteslist"/>
    <w:rsid w:val="0086024E"/>
    <w:rPr>
      <w:rFonts w:eastAsia="Times New Roman" w:cs="Times New Roman"/>
      <w:sz w:val="18"/>
      <w:szCs w:val="24"/>
    </w:rPr>
  </w:style>
  <w:style w:type="paragraph" w:customStyle="1" w:styleId="TableFiguresheading">
    <w:name w:val="Table Figures_heading"/>
    <w:basedOn w:val="Normal"/>
    <w:link w:val="TableFiguresheadingChar"/>
    <w:qFormat/>
    <w:rsid w:val="007E76A2"/>
    <w:pPr>
      <w:spacing w:after="0" w:line="240" w:lineRule="auto"/>
      <w:jc w:val="right"/>
    </w:pPr>
    <w:rPr>
      <w:rFonts w:eastAsia="Times New Roman"/>
      <w:b/>
      <w:sz w:val="20"/>
      <w:szCs w:val="20"/>
      <w:lang w:eastAsia="en-US"/>
    </w:rPr>
  </w:style>
  <w:style w:type="character" w:customStyle="1" w:styleId="TableFiguresheadingChar">
    <w:name w:val="Table Figures_heading Char"/>
    <w:basedOn w:val="DefaultParagraphFont"/>
    <w:link w:val="TableFiguresheading"/>
    <w:rsid w:val="007E76A2"/>
    <w:rPr>
      <w:rFonts w:eastAsia="Times New Roman" w:cs="Times New Roman"/>
      <w:b/>
      <w:sz w:val="20"/>
      <w:szCs w:val="20"/>
    </w:rPr>
  </w:style>
  <w:style w:type="paragraph" w:customStyle="1" w:styleId="Tabletextbold">
    <w:name w:val="Table text bold"/>
    <w:basedOn w:val="Tabletext"/>
    <w:qFormat/>
    <w:rsid w:val="007D5985"/>
    <w:rPr>
      <w:b/>
    </w:rPr>
  </w:style>
  <w:style w:type="paragraph" w:customStyle="1" w:styleId="TableTextbolditalics">
    <w:name w:val="Table Text bold italics"/>
    <w:basedOn w:val="Tabletext"/>
    <w:qFormat/>
    <w:rsid w:val="007D5985"/>
    <w:rPr>
      <w:b/>
      <w:i/>
    </w:rPr>
  </w:style>
  <w:style w:type="paragraph" w:customStyle="1" w:styleId="TableFiguresbold">
    <w:name w:val="Table Figures bold"/>
    <w:basedOn w:val="Tablefigures"/>
    <w:qFormat/>
    <w:rsid w:val="007D5985"/>
    <w:rPr>
      <w:b/>
    </w:rPr>
  </w:style>
  <w:style w:type="paragraph" w:customStyle="1" w:styleId="TableCaption">
    <w:name w:val="Table Caption"/>
    <w:basedOn w:val="Caption"/>
    <w:rsid w:val="0086024E"/>
    <w:pPr>
      <w:keepNext/>
      <w:spacing w:before="240" w:after="120"/>
    </w:pPr>
    <w:rPr>
      <w:rFonts w:eastAsia="Times New Roman"/>
      <w:color w:val="482D8C"/>
      <w:sz w:val="22"/>
      <w:lang w:eastAsia="en-US"/>
    </w:rPr>
  </w:style>
  <w:style w:type="table" w:customStyle="1" w:styleId="ARTableText">
    <w:name w:val="AR_Table_Text"/>
    <w:basedOn w:val="TableNormal"/>
    <w:uiPriority w:val="99"/>
    <w:qFormat/>
    <w:rsid w:val="000419C1"/>
    <w:pPr>
      <w:spacing w:after="0" w:line="240" w:lineRule="auto"/>
    </w:pPr>
    <w:rPr>
      <w:rFonts w:asciiTheme="majorHAnsi" w:eastAsia="Times New Roman" w:hAnsiTheme="majorHAnsi" w:cs="Times New Roman"/>
      <w:b/>
      <w:sz w:val="21"/>
      <w:szCs w:val="20"/>
      <w:lang w:eastAsia="en-AU"/>
    </w:rPr>
    <w:tblPr>
      <w:tblStyleRowBandSize w:val="1"/>
      <w:tblCellMar>
        <w:top w:w="57" w:type="dxa"/>
        <w:bottom w:w="57" w:type="dxa"/>
      </w:tblCellMar>
    </w:tblPr>
    <w:tcPr>
      <w:shd w:val="clear" w:color="auto" w:fill="E0E0E0"/>
      <w:vAlign w:val="center"/>
    </w:tcPr>
    <w:tblStylePr w:type="firstRow">
      <w:pPr>
        <w:jc w:val="center"/>
      </w:pPr>
      <w:rPr>
        <w:rFonts w:asciiTheme="minorHAnsi" w:hAnsiTheme="minorHAnsi"/>
        <w:b/>
        <w:sz w:val="20"/>
      </w:rPr>
      <w:tblPr/>
      <w:tcPr>
        <w:tcBorders>
          <w:top w:val="single" w:sz="4" w:space="0" w:color="000000"/>
          <w:left w:val="nil"/>
          <w:bottom w:val="single" w:sz="18" w:space="0" w:color="auto"/>
          <w:right w:val="nil"/>
        </w:tcBorders>
        <w:shd w:val="clear" w:color="auto" w:fill="auto"/>
      </w:tcPr>
    </w:tblStylePr>
    <w:tblStylePr w:type="lastRow">
      <w:rPr>
        <w:rFonts w:asciiTheme="minorHAnsi" w:hAnsiTheme="minorHAnsi"/>
        <w:sz w:val="20"/>
      </w:rPr>
      <w:tblPr/>
      <w:tcPr>
        <w:tcBorders>
          <w:bottom w:val="dotted" w:sz="6" w:space="0" w:color="auto"/>
        </w:tcBorders>
        <w:shd w:val="clear" w:color="auto" w:fill="ECECEC"/>
      </w:tcPr>
    </w:tblStylePr>
    <w:tblStylePr w:type="firstCol">
      <w:pPr>
        <w:jc w:val="left"/>
      </w:pPr>
      <w:rPr>
        <w:rFonts w:asciiTheme="minorHAnsi" w:hAnsiTheme="minorHAnsi"/>
        <w:sz w:val="20"/>
      </w:rPr>
      <w:tblPr/>
      <w:tcPr>
        <w:vAlign w:val="center"/>
      </w:tcPr>
    </w:tblStylePr>
    <w:tblStylePr w:type="band1Horz">
      <w:pPr>
        <w:jc w:val="left"/>
      </w:pPr>
      <w:rPr>
        <w:rFonts w:asciiTheme="minorHAnsi" w:hAnsiTheme="minorHAnsi"/>
        <w:sz w:val="18"/>
      </w:rPr>
      <w:tblPr/>
      <w:tcPr>
        <w:tcBorders>
          <w:bottom w:val="dotted" w:sz="6" w:space="0" w:color="auto"/>
        </w:tcBorders>
        <w:shd w:val="clear" w:color="auto" w:fill="auto"/>
      </w:tcPr>
    </w:tblStylePr>
    <w:tblStylePr w:type="band2Horz">
      <w:rPr>
        <w:rFonts w:asciiTheme="minorHAnsi" w:hAnsiTheme="minorHAnsi"/>
        <w:sz w:val="18"/>
      </w:rPr>
      <w:tblPr/>
      <w:tcPr>
        <w:tcBorders>
          <w:bottom w:val="dotted" w:sz="6" w:space="0" w:color="auto"/>
        </w:tcBorders>
        <w:shd w:val="clear" w:color="auto" w:fill="auto"/>
      </w:tcPr>
    </w:tblStylePr>
  </w:style>
  <w:style w:type="paragraph" w:customStyle="1" w:styleId="Tableheading">
    <w:name w:val="Table heading"/>
    <w:qFormat/>
    <w:rsid w:val="00C85938"/>
    <w:pPr>
      <w:spacing w:after="0"/>
    </w:pPr>
    <w:rPr>
      <w:rFonts w:eastAsia="Times New Roman" w:cs="Times New Roman"/>
      <w:sz w:val="21"/>
      <w:szCs w:val="21"/>
      <w:lang w:eastAsia="en-AU"/>
    </w:rPr>
  </w:style>
  <w:style w:type="table" w:customStyle="1" w:styleId="ARTableFigures">
    <w:name w:val="AR_Table_Figures"/>
    <w:basedOn w:val="ARTableText"/>
    <w:uiPriority w:val="99"/>
    <w:qFormat/>
    <w:rsid w:val="007D5985"/>
    <w:pPr>
      <w:jc w:val="right"/>
    </w:pPr>
    <w:tblPr/>
    <w:tcPr>
      <w:shd w:val="clear" w:color="auto" w:fill="E0E0E0"/>
    </w:tcPr>
    <w:tblStylePr w:type="firstRow">
      <w:pPr>
        <w:jc w:val="right"/>
      </w:pPr>
      <w:rPr>
        <w:rFonts w:asciiTheme="minorHAnsi" w:hAnsiTheme="minorHAnsi"/>
        <w:b/>
        <w:sz w:val="20"/>
      </w:rPr>
      <w:tblPr/>
      <w:tcPr>
        <w:tcBorders>
          <w:top w:val="single" w:sz="4" w:space="0" w:color="000000"/>
          <w:left w:val="nil"/>
          <w:bottom w:val="single" w:sz="18" w:space="0" w:color="auto"/>
          <w:right w:val="nil"/>
        </w:tcBorders>
        <w:shd w:val="clear" w:color="auto" w:fill="auto"/>
      </w:tcPr>
    </w:tblStylePr>
    <w:tblStylePr w:type="lastRow">
      <w:rPr>
        <w:rFonts w:asciiTheme="minorHAnsi" w:hAnsiTheme="minorHAnsi"/>
        <w:sz w:val="20"/>
      </w:rPr>
      <w:tblPr/>
      <w:tcPr>
        <w:tcBorders>
          <w:bottom w:val="dotted" w:sz="6" w:space="0" w:color="auto"/>
        </w:tcBorders>
        <w:shd w:val="clear" w:color="auto" w:fill="D9D9D9" w:themeFill="background1" w:themeFillShade="D9"/>
      </w:tcPr>
    </w:tblStylePr>
    <w:tblStylePr w:type="firstCol">
      <w:pPr>
        <w:jc w:val="left"/>
      </w:pPr>
      <w:rPr>
        <w:rFonts w:asciiTheme="minorHAnsi" w:hAnsiTheme="minorHAnsi"/>
        <w:sz w:val="20"/>
      </w:rPr>
      <w:tblPr/>
      <w:tcPr>
        <w:vAlign w:val="center"/>
      </w:tcPr>
    </w:tblStylePr>
    <w:tblStylePr w:type="band1Horz">
      <w:pPr>
        <w:jc w:val="right"/>
      </w:pPr>
      <w:rPr>
        <w:rFonts w:asciiTheme="minorHAnsi" w:hAnsiTheme="minorHAnsi"/>
        <w:sz w:val="18"/>
      </w:rPr>
      <w:tblPr/>
      <w:tcPr>
        <w:tcBorders>
          <w:bottom w:val="dotted" w:sz="6" w:space="0" w:color="auto"/>
        </w:tcBorders>
        <w:shd w:val="clear" w:color="auto" w:fill="auto"/>
        <w:vAlign w:val="center"/>
      </w:tcPr>
    </w:tblStylePr>
    <w:tblStylePr w:type="band2Horz">
      <w:pPr>
        <w:jc w:val="right"/>
      </w:pPr>
      <w:rPr>
        <w:rFonts w:asciiTheme="minorHAnsi" w:hAnsiTheme="minorHAnsi"/>
        <w:sz w:val="18"/>
      </w:rPr>
      <w:tblPr/>
      <w:tcPr>
        <w:tcBorders>
          <w:bottom w:val="dotted" w:sz="6" w:space="0" w:color="auto"/>
        </w:tcBorders>
        <w:shd w:val="clear" w:color="auto" w:fill="auto"/>
        <w:vAlign w:val="center"/>
      </w:tcPr>
    </w:tblStylePr>
  </w:style>
  <w:style w:type="table" w:customStyle="1" w:styleId="LightShading1">
    <w:name w:val="Light Shading1"/>
    <w:basedOn w:val="TableNormal"/>
    <w:uiPriority w:val="60"/>
    <w:rsid w:val="007903B1"/>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teHeading">
    <w:name w:val="Note Heading"/>
    <w:basedOn w:val="Normal"/>
    <w:next w:val="Normal"/>
    <w:link w:val="NoteHeadingChar"/>
    <w:uiPriority w:val="99"/>
    <w:semiHidden/>
    <w:unhideWhenUsed/>
    <w:rsid w:val="007D5985"/>
    <w:pPr>
      <w:spacing w:after="0" w:line="240" w:lineRule="auto"/>
    </w:pPr>
  </w:style>
  <w:style w:type="character" w:customStyle="1" w:styleId="NoteHeadingChar">
    <w:name w:val="Note Heading Char"/>
    <w:basedOn w:val="DefaultParagraphFont"/>
    <w:link w:val="NoteHeading"/>
    <w:uiPriority w:val="99"/>
    <w:semiHidden/>
    <w:rsid w:val="007D5985"/>
    <w:rPr>
      <w:rFonts w:cs="Times New Roman"/>
      <w:sz w:val="21"/>
      <w:szCs w:val="21"/>
      <w:lang w:eastAsia="en-AU"/>
    </w:rPr>
  </w:style>
  <w:style w:type="paragraph" w:styleId="Caption">
    <w:name w:val="caption"/>
    <w:basedOn w:val="Normal"/>
    <w:next w:val="Normal"/>
    <w:uiPriority w:val="35"/>
    <w:unhideWhenUsed/>
    <w:qFormat/>
    <w:rsid w:val="005E5305"/>
    <w:pPr>
      <w:spacing w:before="200" w:line="220" w:lineRule="exact"/>
    </w:pPr>
    <w:rPr>
      <w:bCs/>
      <w:i/>
      <w:color w:val="323232" w:themeColor="accent1"/>
      <w:sz w:val="18"/>
      <w:szCs w:val="18"/>
    </w:rPr>
  </w:style>
  <w:style w:type="table" w:styleId="LightShading-Accent2">
    <w:name w:val="Light Shading Accent 2"/>
    <w:basedOn w:val="TableNormal"/>
    <w:uiPriority w:val="60"/>
    <w:rsid w:val="001912A2"/>
    <w:pPr>
      <w:spacing w:after="0" w:line="240" w:lineRule="auto"/>
    </w:pPr>
    <w:rPr>
      <w:color w:val="6D6F63" w:themeColor="accent2" w:themeShade="BF"/>
    </w:rPr>
    <w:tblPr>
      <w:tblStyleRowBandSize w:val="1"/>
      <w:tblStyleColBandSize w:val="1"/>
      <w:tblBorders>
        <w:top w:val="single" w:sz="8" w:space="0" w:color="929487" w:themeColor="accent2"/>
        <w:bottom w:val="single" w:sz="8" w:space="0" w:color="929487" w:themeColor="accent2"/>
      </w:tblBorders>
      <w:tblCellMar>
        <w:top w:w="113" w:type="dxa"/>
        <w:bottom w:w="113" w:type="dxa"/>
      </w:tblCellMar>
    </w:tblPr>
    <w:tcPr>
      <w:vAlign w:val="center"/>
    </w:tcPr>
    <w:tblStylePr w:type="firstRow">
      <w:pPr>
        <w:spacing w:before="0" w:after="0" w:line="240" w:lineRule="auto"/>
      </w:pPr>
      <w:rPr>
        <w:b/>
        <w:bCs/>
      </w:rPr>
      <w:tblPr/>
      <w:tcPr>
        <w:tcBorders>
          <w:top w:val="single" w:sz="8" w:space="0" w:color="929487" w:themeColor="accent2"/>
          <w:left w:val="nil"/>
          <w:bottom w:val="single" w:sz="8" w:space="0" w:color="929487" w:themeColor="accent2"/>
          <w:right w:val="nil"/>
          <w:insideH w:val="nil"/>
          <w:insideV w:val="nil"/>
        </w:tcBorders>
      </w:tcPr>
    </w:tblStylePr>
    <w:tblStylePr w:type="lastRow">
      <w:pPr>
        <w:spacing w:before="0" w:after="0" w:line="240" w:lineRule="auto"/>
      </w:pPr>
      <w:rPr>
        <w:b/>
        <w:bCs/>
      </w:rPr>
      <w:tblPr/>
      <w:tcPr>
        <w:tcBorders>
          <w:top w:val="single" w:sz="8" w:space="0" w:color="929487" w:themeColor="accent2"/>
          <w:left w:val="nil"/>
          <w:bottom w:val="single" w:sz="8" w:space="0" w:color="929487"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3E4E1" w:themeFill="accent2" w:themeFillTint="3F"/>
      </w:tcPr>
    </w:tblStylePr>
    <w:tblStylePr w:type="band1Horz">
      <w:tblPr/>
      <w:tcPr>
        <w:tcBorders>
          <w:left w:val="nil"/>
          <w:right w:val="nil"/>
          <w:insideH w:val="nil"/>
          <w:insideV w:val="nil"/>
        </w:tcBorders>
        <w:shd w:val="clear" w:color="auto" w:fill="E3E4E1" w:themeFill="accent2" w:themeFillTint="3F"/>
      </w:tcPr>
    </w:tblStylePr>
  </w:style>
  <w:style w:type="table" w:styleId="LightList-Accent2">
    <w:name w:val="Light List Accent 2"/>
    <w:basedOn w:val="TableNormal"/>
    <w:uiPriority w:val="61"/>
    <w:rsid w:val="009B7419"/>
    <w:pPr>
      <w:spacing w:after="0" w:line="240" w:lineRule="auto"/>
    </w:pPr>
    <w:tblPr>
      <w:tblStyleRowBandSize w:val="1"/>
      <w:tblStyleColBandSize w:val="1"/>
      <w:tblBorders>
        <w:top w:val="single" w:sz="8" w:space="0" w:color="929487" w:themeColor="accent2"/>
        <w:left w:val="single" w:sz="8" w:space="0" w:color="929487" w:themeColor="accent2"/>
        <w:bottom w:val="single" w:sz="8" w:space="0" w:color="929487" w:themeColor="accent2"/>
        <w:right w:val="single" w:sz="8" w:space="0" w:color="929487" w:themeColor="accent2"/>
      </w:tblBorders>
    </w:tblPr>
    <w:tblStylePr w:type="firstRow">
      <w:pPr>
        <w:spacing w:before="0" w:after="0" w:line="240" w:lineRule="auto"/>
      </w:pPr>
      <w:rPr>
        <w:b/>
        <w:bCs/>
        <w:color w:val="FFFFFF" w:themeColor="background1"/>
      </w:rPr>
      <w:tblPr/>
      <w:tcPr>
        <w:shd w:val="clear" w:color="auto" w:fill="929487" w:themeFill="accent2"/>
      </w:tcPr>
    </w:tblStylePr>
    <w:tblStylePr w:type="lastRow">
      <w:pPr>
        <w:spacing w:before="0" w:after="0" w:line="240" w:lineRule="auto"/>
      </w:pPr>
      <w:rPr>
        <w:b/>
        <w:bCs/>
      </w:rPr>
      <w:tblPr/>
      <w:tcPr>
        <w:tcBorders>
          <w:top w:val="double" w:sz="6" w:space="0" w:color="929487" w:themeColor="accent2"/>
          <w:left w:val="single" w:sz="8" w:space="0" w:color="929487" w:themeColor="accent2"/>
          <w:bottom w:val="single" w:sz="8" w:space="0" w:color="929487" w:themeColor="accent2"/>
          <w:right w:val="single" w:sz="8" w:space="0" w:color="929487" w:themeColor="accent2"/>
        </w:tcBorders>
      </w:tcPr>
    </w:tblStylePr>
    <w:tblStylePr w:type="firstCol">
      <w:rPr>
        <w:b/>
        <w:bCs/>
      </w:rPr>
    </w:tblStylePr>
    <w:tblStylePr w:type="lastCol">
      <w:rPr>
        <w:b/>
        <w:bCs/>
      </w:rPr>
    </w:tblStylePr>
    <w:tblStylePr w:type="band1Vert">
      <w:tblPr/>
      <w:tcPr>
        <w:tcBorders>
          <w:top w:val="single" w:sz="8" w:space="0" w:color="929487" w:themeColor="accent2"/>
          <w:left w:val="single" w:sz="8" w:space="0" w:color="929487" w:themeColor="accent2"/>
          <w:bottom w:val="single" w:sz="8" w:space="0" w:color="929487" w:themeColor="accent2"/>
          <w:right w:val="single" w:sz="8" w:space="0" w:color="929487" w:themeColor="accent2"/>
        </w:tcBorders>
      </w:tcPr>
    </w:tblStylePr>
    <w:tblStylePr w:type="band1Horz">
      <w:tblPr/>
      <w:tcPr>
        <w:tcBorders>
          <w:top w:val="single" w:sz="8" w:space="0" w:color="929487" w:themeColor="accent2"/>
          <w:left w:val="single" w:sz="8" w:space="0" w:color="929487" w:themeColor="accent2"/>
          <w:bottom w:val="single" w:sz="8" w:space="0" w:color="929487" w:themeColor="accent2"/>
          <w:right w:val="single" w:sz="8" w:space="0" w:color="929487" w:themeColor="accent2"/>
        </w:tcBorders>
      </w:tcPr>
    </w:tblStylePr>
  </w:style>
  <w:style w:type="table" w:styleId="MediumShading1-Accent2">
    <w:name w:val="Medium Shading 1 Accent 2"/>
    <w:basedOn w:val="TableNormal"/>
    <w:uiPriority w:val="63"/>
    <w:rsid w:val="009B7419"/>
    <w:pPr>
      <w:spacing w:after="0" w:line="240" w:lineRule="auto"/>
    </w:pPr>
    <w:tblPr>
      <w:tblStyleRowBandSize w:val="1"/>
      <w:tblStyleColBandSize w:val="1"/>
      <w:tblBorders>
        <w:insideH w:val="single" w:sz="8" w:space="0" w:color="929487" w:themeColor="accent2"/>
      </w:tblBorders>
    </w:tblPr>
    <w:tblStylePr w:type="firstRow">
      <w:pPr>
        <w:spacing w:before="0" w:after="0" w:line="240" w:lineRule="auto"/>
      </w:pPr>
      <w:rPr>
        <w:b/>
        <w:bCs/>
        <w:color w:val="FFFFFF" w:themeColor="background1"/>
      </w:rPr>
      <w:tblPr/>
      <w:tcPr>
        <w:tcBorders>
          <w:top w:val="single" w:sz="8" w:space="0" w:color="ADAEA4" w:themeColor="accent2" w:themeTint="BF"/>
          <w:left w:val="single" w:sz="8" w:space="0" w:color="ADAEA4" w:themeColor="accent2" w:themeTint="BF"/>
          <w:bottom w:val="single" w:sz="8" w:space="0" w:color="ADAEA4" w:themeColor="accent2" w:themeTint="BF"/>
          <w:right w:val="single" w:sz="8" w:space="0" w:color="ADAEA4" w:themeColor="accent2" w:themeTint="BF"/>
          <w:insideH w:val="nil"/>
          <w:insideV w:val="nil"/>
        </w:tcBorders>
        <w:shd w:val="clear" w:color="auto" w:fill="929487" w:themeFill="accent2"/>
      </w:tcPr>
    </w:tblStylePr>
    <w:tblStylePr w:type="lastRow">
      <w:pPr>
        <w:spacing w:before="0" w:after="0" w:line="240" w:lineRule="auto"/>
      </w:pPr>
      <w:rPr>
        <w:b/>
        <w:bCs/>
      </w:rPr>
      <w:tblPr/>
      <w:tcPr>
        <w:tcBorders>
          <w:top w:val="double" w:sz="6" w:space="0" w:color="ADAEA4" w:themeColor="accent2" w:themeTint="BF"/>
          <w:left w:val="single" w:sz="8" w:space="0" w:color="ADAEA4" w:themeColor="accent2" w:themeTint="BF"/>
          <w:bottom w:val="single" w:sz="8" w:space="0" w:color="ADAEA4" w:themeColor="accent2" w:themeTint="BF"/>
          <w:right w:val="single" w:sz="8" w:space="0" w:color="ADAEA4" w:themeColor="accent2" w:themeTint="BF"/>
          <w:insideH w:val="nil"/>
          <w:insideV w:val="nil"/>
        </w:tcBorders>
      </w:tcPr>
    </w:tblStylePr>
    <w:tblStylePr w:type="firstCol">
      <w:rPr>
        <w:b/>
        <w:bCs/>
      </w:rPr>
    </w:tblStylePr>
    <w:tblStylePr w:type="lastCol">
      <w:rPr>
        <w:b/>
        <w:bCs/>
      </w:rPr>
    </w:tblStylePr>
    <w:tblStylePr w:type="band1Vert">
      <w:tblPr/>
      <w:tcPr>
        <w:shd w:val="clear" w:color="auto" w:fill="E3E4E1" w:themeFill="accent2" w:themeFillTint="3F"/>
      </w:tcPr>
    </w:tblStylePr>
    <w:tblStylePr w:type="band1Horz">
      <w:tblPr/>
      <w:tcPr>
        <w:tcBorders>
          <w:insideH w:val="nil"/>
          <w:insideV w:val="nil"/>
        </w:tcBorders>
        <w:shd w:val="clear" w:color="auto" w:fill="E3E4E1" w:themeFill="accent2" w:themeFillTint="3F"/>
      </w:tcPr>
    </w:tblStylePr>
    <w:tblStylePr w:type="band2Horz">
      <w:tblPr/>
      <w:tcPr>
        <w:tcBorders>
          <w:insideH w:val="nil"/>
          <w:insideV w:val="nil"/>
        </w:tcBorders>
      </w:tcPr>
    </w:tblStylePr>
  </w:style>
  <w:style w:type="paragraph" w:styleId="BalloonText">
    <w:name w:val="Balloon Text"/>
    <w:basedOn w:val="Normal"/>
    <w:link w:val="BalloonTextChar"/>
    <w:uiPriority w:val="99"/>
    <w:semiHidden/>
    <w:unhideWhenUsed/>
    <w:rsid w:val="004502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02A1"/>
    <w:rPr>
      <w:rFonts w:ascii="Tahoma" w:hAnsi="Tahoma" w:cs="Tahoma"/>
      <w:sz w:val="16"/>
      <w:szCs w:val="16"/>
      <w:lang w:eastAsia="en-AU"/>
    </w:rPr>
  </w:style>
  <w:style w:type="character" w:styleId="Strong">
    <w:name w:val="Strong"/>
    <w:basedOn w:val="DefaultParagraphFont"/>
    <w:uiPriority w:val="22"/>
    <w:qFormat/>
    <w:rsid w:val="00C85938"/>
    <w:rPr>
      <w:b/>
      <w:bCs/>
    </w:rPr>
  </w:style>
  <w:style w:type="paragraph" w:styleId="NoSpacing">
    <w:name w:val="No Spacing"/>
    <w:link w:val="NoSpacingChar"/>
    <w:uiPriority w:val="1"/>
    <w:qFormat/>
    <w:rsid w:val="00F875BD"/>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F875BD"/>
    <w:rPr>
      <w:rFonts w:eastAsiaTheme="minorEastAsia"/>
      <w:lang w:val="en-US"/>
    </w:rPr>
  </w:style>
  <w:style w:type="paragraph" w:styleId="ListParagraph">
    <w:name w:val="List Paragraph"/>
    <w:basedOn w:val="Normal"/>
    <w:uiPriority w:val="34"/>
    <w:qFormat/>
    <w:rsid w:val="00AA6E5F"/>
    <w:pPr>
      <w:ind w:left="720"/>
      <w:contextualSpacing/>
    </w:pPr>
  </w:style>
  <w:style w:type="paragraph" w:customStyle="1" w:styleId="Tableheadbold">
    <w:name w:val="Table head bold"/>
    <w:basedOn w:val="Normal"/>
    <w:next w:val="Tablebody"/>
    <w:qFormat/>
    <w:rsid w:val="004B4981"/>
    <w:pPr>
      <w:spacing w:after="0"/>
    </w:pPr>
    <w:rPr>
      <w:rFonts w:asciiTheme="majorHAnsi" w:eastAsia="Times New Roman" w:hAnsiTheme="majorHAnsi"/>
      <w:b/>
    </w:rPr>
  </w:style>
  <w:style w:type="paragraph" w:customStyle="1" w:styleId="Tableheadblack">
    <w:name w:val="Table head black"/>
    <w:basedOn w:val="Tablehead"/>
    <w:qFormat/>
    <w:rsid w:val="00B70B52"/>
    <w:rPr>
      <w:rFonts w:cstheme="majorHAnsi"/>
      <w:b/>
      <w:color w:val="auto"/>
      <w:szCs w:val="21"/>
    </w:rPr>
  </w:style>
  <w:style w:type="paragraph" w:customStyle="1" w:styleId="Tableheadtext">
    <w:name w:val="Table head text"/>
    <w:basedOn w:val="Note"/>
    <w:qFormat/>
    <w:rsid w:val="00452B15"/>
    <w:pPr>
      <w:spacing w:after="0" w:line="240" w:lineRule="auto"/>
    </w:pPr>
    <w:rPr>
      <w:rFonts w:asciiTheme="majorHAnsi" w:hAnsiTheme="majorHAnsi" w:cstheme="majorHAnsi"/>
      <w:sz w:val="21"/>
      <w:szCs w:val="21"/>
    </w:rPr>
  </w:style>
  <w:style w:type="table" w:styleId="ColorfulList-Accent3">
    <w:name w:val="Colorful List Accent 3"/>
    <w:aliases w:val="Colorful List - ACT Gov"/>
    <w:basedOn w:val="TableNormal"/>
    <w:uiPriority w:val="72"/>
    <w:rsid w:val="00214A8E"/>
    <w:pPr>
      <w:spacing w:after="0" w:line="240" w:lineRule="auto"/>
    </w:pPr>
    <w:rPr>
      <w:color w:val="000000" w:themeColor="text1"/>
    </w:rPr>
    <w:tblPr>
      <w:tblStyleRowBandSize w:val="1"/>
      <w:tblStyleColBandSize w:val="1"/>
    </w:tblPr>
    <w:tcPr>
      <w:shd w:val="clear" w:color="auto" w:fill="FFFFFF" w:themeFill="background1"/>
    </w:tcPr>
    <w:tblStylePr w:type="firstRow">
      <w:rPr>
        <w:b/>
        <w:bCs/>
        <w:color w:val="FFFFFF" w:themeColor="background1"/>
      </w:rPr>
      <w:tblPr/>
      <w:tcPr>
        <w:tcBorders>
          <w:bottom w:val="single" w:sz="12" w:space="0" w:color="FFFFFF" w:themeColor="background1"/>
        </w:tcBorders>
        <w:shd w:val="clear" w:color="auto" w:fill="282674" w:themeFill="accent4" w:themeFillShade="CC"/>
      </w:tcPr>
    </w:tblStylePr>
    <w:tblStylePr w:type="lastRow">
      <w:rPr>
        <w:b/>
        <w:bCs/>
        <w:color w:val="282674"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CCEE6" w:themeFill="accent3" w:themeFillTint="3F"/>
      </w:tcPr>
    </w:tblStylePr>
    <w:tblStylePr w:type="band1Horz">
      <w:tblPr/>
      <w:tcPr>
        <w:shd w:val="clear" w:color="auto" w:fill="EFD7EB" w:themeFill="accent3" w:themeFillTint="33"/>
      </w:tcPr>
    </w:tblStylePr>
  </w:style>
  <w:style w:type="table" w:styleId="ColorfulList-Accent5">
    <w:name w:val="Colorful List Accent 5"/>
    <w:basedOn w:val="TableNormal"/>
    <w:uiPriority w:val="72"/>
    <w:rsid w:val="00E753AA"/>
    <w:pPr>
      <w:spacing w:after="0" w:line="240" w:lineRule="auto"/>
    </w:pPr>
    <w:rPr>
      <w:color w:val="000000" w:themeColor="text1"/>
    </w:rPr>
    <w:tblPr>
      <w:tblStyleRowBandSize w:val="1"/>
      <w:tblBorders>
        <w:insideV w:val="single" w:sz="4" w:space="0" w:color="FFFFFF" w:themeColor="background1"/>
      </w:tblBorders>
      <w:tblCellMar>
        <w:top w:w="113" w:type="dxa"/>
        <w:bottom w:w="113" w:type="dxa"/>
      </w:tblCellMar>
    </w:tblPr>
    <w:tcPr>
      <w:shd w:val="clear" w:color="auto" w:fill="E9E9E6" w:themeFill="accent2" w:themeFillTint="33"/>
      <w:vAlign w:val="center"/>
    </w:tcPr>
    <w:tblStylePr w:type="firstRow">
      <w:pPr>
        <w:jc w:val="left"/>
      </w:pPr>
      <w:rPr>
        <w:rFonts w:asciiTheme="majorHAnsi" w:hAnsiTheme="majorHAnsi"/>
        <w:b w:val="0"/>
        <w:bCs/>
        <w:color w:val="FFFFFF" w:themeColor="background1"/>
        <w:sz w:val="21"/>
      </w:rPr>
      <w:tblPr/>
      <w:tcPr>
        <w:shd w:val="clear" w:color="auto" w:fill="482D8C" w:themeFill="background2"/>
      </w:tcPr>
    </w:tblStylePr>
    <w:tblStylePr w:type="lastRow">
      <w:rPr>
        <w:b/>
        <w:bCs/>
        <w:color w:val="00AEEF" w:themeColor="text2"/>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Horz">
      <w:tblPr/>
      <w:tcPr>
        <w:shd w:val="clear" w:color="auto" w:fill="FFFFFF" w:themeFill="background1"/>
      </w:tcPr>
    </w:tblStylePr>
  </w:style>
  <w:style w:type="table" w:styleId="ColorfulList-Accent6">
    <w:name w:val="Colorful List Accent 6"/>
    <w:basedOn w:val="TableNormal"/>
    <w:uiPriority w:val="72"/>
    <w:rsid w:val="001E7690"/>
    <w:pPr>
      <w:spacing w:after="0" w:line="240" w:lineRule="auto"/>
    </w:pPr>
    <w:rPr>
      <w:color w:val="000000" w:themeColor="text1"/>
    </w:rPr>
    <w:tblPr>
      <w:tblStyleRowBandSize w:val="1"/>
      <w:tblStyleColBandSize w:val="1"/>
    </w:tblPr>
    <w:tcPr>
      <w:shd w:val="clear" w:color="auto" w:fill="DDFFFC" w:themeFill="accent6" w:themeFillTint="19"/>
    </w:tcPr>
    <w:tblStylePr w:type="firstRow">
      <w:rPr>
        <w:b/>
        <w:bCs/>
        <w:color w:val="FFFFFF" w:themeColor="background1"/>
      </w:rPr>
      <w:tblPr/>
      <w:tcPr>
        <w:tcBorders>
          <w:bottom w:val="single" w:sz="12" w:space="0" w:color="FFFFFF" w:themeColor="background1"/>
        </w:tcBorders>
        <w:shd w:val="clear" w:color="auto" w:fill="D2510B" w:themeFill="accent5" w:themeFillShade="CC"/>
      </w:tcPr>
    </w:tblStylePr>
    <w:tblStylePr w:type="lastRow">
      <w:rPr>
        <w:b/>
        <w:bCs/>
        <w:color w:val="D2510B"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AFFF8" w:themeFill="accent6" w:themeFillTint="3F"/>
      </w:tcPr>
    </w:tblStylePr>
    <w:tblStylePr w:type="band1Horz">
      <w:tblPr/>
      <w:tcPr>
        <w:shd w:val="clear" w:color="auto" w:fill="BAFFF9" w:themeFill="accent6" w:themeFillTint="33"/>
      </w:tcPr>
    </w:tblStylePr>
  </w:style>
  <w:style w:type="table" w:customStyle="1" w:styleId="ACTGovblue">
    <w:name w:val="ACT Gov blue"/>
    <w:basedOn w:val="TableNormal"/>
    <w:uiPriority w:val="99"/>
    <w:qFormat/>
    <w:rsid w:val="001E7690"/>
    <w:pPr>
      <w:spacing w:after="0" w:line="240" w:lineRule="auto"/>
    </w:pPr>
    <w:tblPr/>
  </w:style>
  <w:style w:type="paragraph" w:customStyle="1" w:styleId="Introreverse">
    <w:name w:val="Intro reverse"/>
    <w:basedOn w:val="Intro"/>
    <w:qFormat/>
    <w:rsid w:val="0058377A"/>
    <w:rPr>
      <w:b/>
      <w:noProof/>
      <w:color w:val="FFFFFF" w:themeColor="background1"/>
      <w:sz w:val="28"/>
      <w:szCs w:val="28"/>
    </w:rPr>
  </w:style>
  <w:style w:type="paragraph" w:customStyle="1" w:styleId="Heading1reverse">
    <w:name w:val="Heading 1 reverse"/>
    <w:basedOn w:val="Heading1"/>
    <w:qFormat/>
    <w:rsid w:val="000B13CB"/>
    <w:rPr>
      <w:color w:val="FFFFFF" w:themeColor="background1"/>
    </w:rPr>
  </w:style>
  <w:style w:type="paragraph" w:customStyle="1" w:styleId="Heading3reverse">
    <w:name w:val="Heading 3 reverse"/>
    <w:basedOn w:val="Heading3"/>
    <w:qFormat/>
    <w:rsid w:val="00A56436"/>
    <w:rPr>
      <w:color w:val="FFFFFF" w:themeColor="background1"/>
    </w:rPr>
  </w:style>
  <w:style w:type="paragraph" w:customStyle="1" w:styleId="bodytextreverse">
    <w:name w:val="body text reverse"/>
    <w:basedOn w:val="Normal"/>
    <w:qFormat/>
    <w:rsid w:val="004C1925"/>
    <w:pPr>
      <w:spacing w:line="270" w:lineRule="exact"/>
    </w:pPr>
    <w:rPr>
      <w:rFonts w:ascii="Arial" w:hAnsi="Arial"/>
      <w:noProof/>
      <w:color w:val="FFFFFF" w:themeColor="background1"/>
      <w:kern w:val="22"/>
      <w:sz w:val="22"/>
    </w:rPr>
  </w:style>
  <w:style w:type="paragraph" w:styleId="EnvelopeReturn">
    <w:name w:val="envelope return"/>
    <w:basedOn w:val="Normal"/>
    <w:uiPriority w:val="99"/>
    <w:unhideWhenUsed/>
    <w:rsid w:val="005E5305"/>
    <w:pPr>
      <w:spacing w:after="0" w:line="240" w:lineRule="auto"/>
    </w:pPr>
    <w:rPr>
      <w:rFonts w:asciiTheme="majorHAnsi" w:eastAsiaTheme="majorEastAsia" w:hAnsiTheme="majorHAnsi" w:cstheme="majorBidi"/>
      <w:sz w:val="20"/>
      <w:szCs w:val="20"/>
    </w:rPr>
  </w:style>
  <w:style w:type="paragraph" w:styleId="ListBullet">
    <w:name w:val="List Bullet"/>
    <w:basedOn w:val="Normal"/>
    <w:uiPriority w:val="99"/>
    <w:unhideWhenUsed/>
    <w:rsid w:val="0089332C"/>
    <w:pPr>
      <w:numPr>
        <w:numId w:val="6"/>
      </w:numPr>
      <w:contextualSpacing/>
    </w:pPr>
  </w:style>
  <w:style w:type="character" w:styleId="Emphasis">
    <w:name w:val="Emphasis"/>
    <w:basedOn w:val="DefaultParagraphFont"/>
    <w:uiPriority w:val="20"/>
    <w:qFormat/>
    <w:rsid w:val="002A093C"/>
    <w:rPr>
      <w:i/>
      <w:iCs/>
    </w:rPr>
  </w:style>
  <w:style w:type="character" w:styleId="IntenseEmphasis">
    <w:name w:val="Intense Emphasis"/>
    <w:basedOn w:val="DefaultParagraphFont"/>
    <w:uiPriority w:val="21"/>
    <w:qFormat/>
    <w:rsid w:val="00F47ECA"/>
    <w:rPr>
      <w:b/>
      <w:bCs/>
      <w:i/>
      <w:iCs/>
      <w:color w:val="323232" w:themeColor="accent1"/>
    </w:rPr>
  </w:style>
  <w:style w:type="character" w:customStyle="1" w:styleId="Heading5Char">
    <w:name w:val="Heading 5 Char"/>
    <w:basedOn w:val="DefaultParagraphFont"/>
    <w:link w:val="Heading5"/>
    <w:uiPriority w:val="9"/>
    <w:rsid w:val="00731AE2"/>
    <w:rPr>
      <w:rFonts w:asciiTheme="majorHAnsi" w:eastAsiaTheme="majorEastAsia" w:hAnsiTheme="majorHAnsi" w:cstheme="majorBidi"/>
      <w:color w:val="252525" w:themeColor="accent1" w:themeShade="BF"/>
      <w:sz w:val="21"/>
      <w:szCs w:val="21"/>
      <w:lang w:eastAsia="en-AU"/>
    </w:rPr>
  </w:style>
  <w:style w:type="character" w:styleId="CommentReference">
    <w:name w:val="annotation reference"/>
    <w:basedOn w:val="DefaultParagraphFont"/>
    <w:uiPriority w:val="99"/>
    <w:semiHidden/>
    <w:unhideWhenUsed/>
    <w:rsid w:val="0091794F"/>
    <w:rPr>
      <w:sz w:val="16"/>
      <w:szCs w:val="16"/>
    </w:rPr>
  </w:style>
  <w:style w:type="paragraph" w:styleId="CommentText">
    <w:name w:val="annotation text"/>
    <w:basedOn w:val="Normal"/>
    <w:link w:val="CommentTextChar"/>
    <w:uiPriority w:val="99"/>
    <w:semiHidden/>
    <w:unhideWhenUsed/>
    <w:rsid w:val="0091794F"/>
    <w:pPr>
      <w:spacing w:after="160" w:line="240" w:lineRule="auto"/>
    </w:pPr>
    <w:rPr>
      <w:rFonts w:cstheme="minorBidi"/>
      <w:sz w:val="20"/>
      <w:szCs w:val="20"/>
      <w:lang w:eastAsia="en-US"/>
    </w:rPr>
  </w:style>
  <w:style w:type="character" w:customStyle="1" w:styleId="CommentTextChar">
    <w:name w:val="Comment Text Char"/>
    <w:basedOn w:val="DefaultParagraphFont"/>
    <w:link w:val="CommentText"/>
    <w:uiPriority w:val="99"/>
    <w:semiHidden/>
    <w:rsid w:val="0091794F"/>
    <w:rPr>
      <w:sz w:val="20"/>
      <w:szCs w:val="20"/>
    </w:rPr>
  </w:style>
  <w:style w:type="paragraph" w:styleId="CommentSubject">
    <w:name w:val="annotation subject"/>
    <w:basedOn w:val="CommentText"/>
    <w:next w:val="CommentText"/>
    <w:link w:val="CommentSubjectChar"/>
    <w:uiPriority w:val="99"/>
    <w:semiHidden/>
    <w:unhideWhenUsed/>
    <w:rsid w:val="00751C23"/>
    <w:pPr>
      <w:spacing w:after="200"/>
    </w:pPr>
    <w:rPr>
      <w:rFonts w:cs="Times New Roman"/>
      <w:b/>
      <w:bCs/>
      <w:lang w:eastAsia="en-AU"/>
    </w:rPr>
  </w:style>
  <w:style w:type="character" w:customStyle="1" w:styleId="CommentSubjectChar">
    <w:name w:val="Comment Subject Char"/>
    <w:basedOn w:val="CommentTextChar"/>
    <w:link w:val="CommentSubject"/>
    <w:uiPriority w:val="99"/>
    <w:semiHidden/>
    <w:rsid w:val="00751C23"/>
    <w:rPr>
      <w:rFonts w:cs="Times New Roman"/>
      <w:b/>
      <w:bCs/>
      <w:sz w:val="20"/>
      <w:szCs w:val="20"/>
      <w:lang w:eastAsia="en-AU"/>
    </w:rPr>
  </w:style>
  <w:style w:type="character" w:styleId="FollowedHyperlink">
    <w:name w:val="FollowedHyperlink"/>
    <w:basedOn w:val="DefaultParagraphFont"/>
    <w:uiPriority w:val="99"/>
    <w:semiHidden/>
    <w:unhideWhenUsed/>
    <w:rsid w:val="00A978DD"/>
    <w:rPr>
      <w:color w:val="7F7F7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6990401">
      <w:bodyDiv w:val="1"/>
      <w:marLeft w:val="0"/>
      <w:marRight w:val="0"/>
      <w:marTop w:val="0"/>
      <w:marBottom w:val="0"/>
      <w:divBdr>
        <w:top w:val="none" w:sz="0" w:space="0" w:color="auto"/>
        <w:left w:val="none" w:sz="0" w:space="0" w:color="auto"/>
        <w:bottom w:val="none" w:sz="0" w:space="0" w:color="auto"/>
        <w:right w:val="none" w:sz="0" w:space="0" w:color="auto"/>
      </w:divBdr>
    </w:div>
    <w:div w:id="1780492616">
      <w:bodyDiv w:val="1"/>
      <w:marLeft w:val="0"/>
      <w:marRight w:val="0"/>
      <w:marTop w:val="0"/>
      <w:marBottom w:val="0"/>
      <w:divBdr>
        <w:top w:val="none" w:sz="0" w:space="0" w:color="auto"/>
        <w:left w:val="none" w:sz="0" w:space="0" w:color="auto"/>
        <w:bottom w:val="none" w:sz="0" w:space="0" w:color="auto"/>
        <w:right w:val="none" w:sz="0" w:space="0" w:color="auto"/>
      </w:divBdr>
    </w:div>
    <w:div w:id="1937663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novation-connect.smartygrants.com.au/WiT-RoundTwo"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CMTEDDCorporate@act.gov.au"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kills@act.gov.a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Arts ACT">
  <a:themeElements>
    <a:clrScheme name="ACT gov blue violet">
      <a:dk1>
        <a:sysClr val="windowText" lastClr="000000"/>
      </a:dk1>
      <a:lt1>
        <a:sysClr val="window" lastClr="FFFFFF"/>
      </a:lt1>
      <a:dk2>
        <a:srgbClr val="00AEEF"/>
      </a:dk2>
      <a:lt2>
        <a:srgbClr val="482D8C"/>
      </a:lt2>
      <a:accent1>
        <a:srgbClr val="323232"/>
      </a:accent1>
      <a:accent2>
        <a:srgbClr val="929487"/>
      </a:accent2>
      <a:accent3>
        <a:srgbClr val="AB4399"/>
      </a:accent3>
      <a:accent4>
        <a:srgbClr val="333092"/>
      </a:accent4>
      <a:accent5>
        <a:srgbClr val="F36C23"/>
      </a:accent5>
      <a:accent6>
        <a:srgbClr val="00A99D"/>
      </a:accent6>
      <a:hlink>
        <a:srgbClr val="333092"/>
      </a:hlink>
      <a:folHlink>
        <a:srgbClr val="7F7F7F"/>
      </a:folHlink>
    </a:clrScheme>
    <a:fontScheme name="Arial-Calibri">
      <a:majorFont>
        <a:latin typeface="Arial"/>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68B9F4-ACED-42E7-9C6F-59C95F7D1CC4}">
  <ds:schemaRefs>
    <ds:schemaRef ds:uri="http://schemas.openxmlformats.org/package/2006/metadata/core-properties"/>
    <ds:schemaRef ds:uri="http://purl.org/dc/terms/"/>
    <ds:schemaRef ds:uri="http://purl.org/dc/elements/1.1/"/>
    <ds:schemaRef ds:uri="http://www.w3.org/XML/1998/namespace"/>
    <ds:schemaRef ds:uri="http://schemas.microsoft.com/office/2006/documentManagement/types"/>
    <ds:schemaRef ds:uri="http://purl.org/dc/dcmitype/"/>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C2DAFE5-D8DC-434B-9047-DC88348C1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6B4A920-7F81-46E1-953D-E350C4A79E86}">
  <ds:schemaRefs>
    <ds:schemaRef ds:uri="http://schemas.microsoft.com/sharepoint/v3/contenttype/forms"/>
  </ds:schemaRefs>
</ds:datastoreItem>
</file>

<file path=customXml/itemProps4.xml><?xml version="1.0" encoding="utf-8"?>
<ds:datastoreItem xmlns:ds="http://schemas.openxmlformats.org/officeDocument/2006/customXml" ds:itemID="{0E89F743-EB9D-415C-B50F-BE88888AB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2457</Words>
  <Characters>14008</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ACT Government Publication template purple</vt:lpstr>
    </vt:vector>
  </TitlesOfParts>
  <Company>ACT Government</Company>
  <LinksUpToDate>false</LinksUpToDate>
  <CharactersWithSpaces>16433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 Government Publication template purple</dc:title>
  <dc:subject>Publication template purple</dc:subject>
  <dc:creator>rejwana farha</dc:creator>
  <cp:lastModifiedBy>Marshall, Brian</cp:lastModifiedBy>
  <cp:revision>2</cp:revision>
  <cp:lastPrinted>2016-09-21T00:45:00Z</cp:lastPrinted>
  <dcterms:created xsi:type="dcterms:W3CDTF">2019-03-05T04:25:00Z</dcterms:created>
  <dcterms:modified xsi:type="dcterms:W3CDTF">2019-03-05T04:25:00Z</dcterms:modified>
</cp:coreProperties>
</file>